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DF" w:rsidRDefault="00AD706D" w:rsidP="002250D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2250DF" w:rsidRPr="002250D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муниципального образования город Саяногорск </w:t>
      </w:r>
    </w:p>
    <w:p w:rsidR="002250DF" w:rsidRPr="002250DF" w:rsidRDefault="002250DF" w:rsidP="002250D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bookmarkStart w:id="0" w:name="_GoBack"/>
      <w:r w:rsidR="00702F62">
        <w:rPr>
          <w:rFonts w:ascii="Times New Roman" w:hAnsi="Times New Roman" w:cs="Times New Roman"/>
          <w:sz w:val="20"/>
          <w:szCs w:val="24"/>
        </w:rPr>
        <w:t>28.02.2020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 w:rsidR="00702F62">
        <w:rPr>
          <w:rFonts w:ascii="Times New Roman" w:hAnsi="Times New Roman" w:cs="Times New Roman"/>
          <w:sz w:val="20"/>
          <w:szCs w:val="24"/>
        </w:rPr>
        <w:t>97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  <w:bookmarkEnd w:id="0"/>
      <w:r w:rsidRPr="002250DF">
        <w:rPr>
          <w:rFonts w:ascii="Times New Roman" w:hAnsi="Times New Roman" w:cs="Times New Roman"/>
          <w:sz w:val="20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0"/>
          <w:szCs w:val="24"/>
        </w:rPr>
        <w:t xml:space="preserve">Технического задания </w:t>
      </w:r>
      <w:r w:rsidRPr="002250DF">
        <w:rPr>
          <w:rFonts w:ascii="Times New Roman" w:hAnsi="Times New Roman" w:cs="Times New Roman"/>
          <w:sz w:val="20"/>
          <w:szCs w:val="24"/>
        </w:rPr>
        <w:t xml:space="preserve">на разработку инвестиционной программы в сфере водоснабжения и водоотведения </w:t>
      </w:r>
    </w:p>
    <w:p w:rsidR="00AD706D" w:rsidRPr="002250DF" w:rsidRDefault="002250DF" w:rsidP="002250D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ООО «Саяногорские коммунальные системы» на 2021-2023 годы</w:t>
      </w:r>
      <w:r>
        <w:rPr>
          <w:rFonts w:ascii="Times New Roman" w:hAnsi="Times New Roman" w:cs="Times New Roman"/>
          <w:sz w:val="20"/>
          <w:szCs w:val="24"/>
        </w:rPr>
        <w:t>»</w:t>
      </w:r>
    </w:p>
    <w:p w:rsidR="00AD706D" w:rsidRDefault="00AD706D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8526B3" w:rsidRDefault="008526B3" w:rsidP="00070EEC">
      <w:pPr>
        <w:spacing w:after="0"/>
        <w:rPr>
          <w:sz w:val="24"/>
          <w:szCs w:val="24"/>
        </w:rPr>
      </w:pPr>
    </w:p>
    <w:p w:rsidR="008526B3" w:rsidRPr="00070EEC" w:rsidRDefault="008526B3" w:rsidP="00070EEC">
      <w:pPr>
        <w:spacing w:after="0"/>
        <w:rPr>
          <w:sz w:val="24"/>
          <w:szCs w:val="24"/>
        </w:rPr>
      </w:pPr>
    </w:p>
    <w:p w:rsidR="00AD706D" w:rsidRPr="00070EEC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D706D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:rsidR="00AD706D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="00F5584B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 w:rsidR="00F5584B">
        <w:rPr>
          <w:rFonts w:ascii="Times New Roman" w:hAnsi="Times New Roman" w:cs="Times New Roman"/>
          <w:sz w:val="24"/>
          <w:szCs w:val="24"/>
        </w:rPr>
        <w:t>23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5584B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6B3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EB47FE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Федеральный закон от 07.12.2011 № 416-ФЗ (ред. от 25.12.2018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г.)</w:t>
      </w:r>
      <w:r w:rsidR="00EB47FE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«О водоснабжении и водоотведении» (да</w:t>
      </w:r>
      <w:r w:rsidR="00DB1367" w:rsidRPr="00EB47FE">
        <w:rPr>
          <w:rFonts w:ascii="Times New Roman" w:hAnsi="Times New Roman" w:cs="Times New Roman"/>
        </w:rPr>
        <w:t>лее – Федеральный закон 416-ФЗ)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Федеральный закон от 23.11.2009 № 261-ФЗ (ред. от 27.12.2018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г.)</w:t>
      </w:r>
      <w:r w:rsidR="00EB47FE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«Об энергосбережении и о повышении энергетической эффективности и о внесении изменений в отдельные законодател</w:t>
      </w:r>
      <w:r w:rsidR="00DB1367" w:rsidRPr="00EB47FE">
        <w:rPr>
          <w:rFonts w:ascii="Times New Roman" w:hAnsi="Times New Roman" w:cs="Times New Roman"/>
        </w:rPr>
        <w:t>ьные акты Российской Федерации»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Концессионное соглашение № 01/2013 от 25.06.2013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</w:t>
      </w:r>
      <w:r w:rsidR="00EB47FE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Pr="00EB47FE">
        <w:rPr>
          <w:rFonts w:ascii="Times New Roman" w:hAnsi="Times New Roman" w:cs="Times New Roman"/>
        </w:rPr>
        <w:t>пгт</w:t>
      </w:r>
      <w:proofErr w:type="spellEnd"/>
      <w:r w:rsidRPr="00EB47FE">
        <w:rPr>
          <w:rFonts w:ascii="Times New Roman" w:hAnsi="Times New Roman" w:cs="Times New Roman"/>
        </w:rPr>
        <w:t xml:space="preserve">. Майна, </w:t>
      </w:r>
      <w:proofErr w:type="spellStart"/>
      <w:r w:rsidRPr="00EB47FE">
        <w:rPr>
          <w:rFonts w:ascii="Times New Roman" w:hAnsi="Times New Roman" w:cs="Times New Roman"/>
        </w:rPr>
        <w:t>пгт</w:t>
      </w:r>
      <w:proofErr w:type="spellEnd"/>
      <w:r w:rsidRPr="00EB47FE">
        <w:rPr>
          <w:rFonts w:ascii="Times New Roman" w:hAnsi="Times New Roman" w:cs="Times New Roman"/>
        </w:rPr>
        <w:t xml:space="preserve">. </w:t>
      </w:r>
      <w:r w:rsidR="00DB1367" w:rsidRPr="00EB47FE">
        <w:rPr>
          <w:rFonts w:ascii="Times New Roman" w:hAnsi="Times New Roman" w:cs="Times New Roman"/>
        </w:rPr>
        <w:t>Черемушки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Концессионное соглашение № 02/2013 от 25.06.2013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в целях реконструкц</w:t>
      </w:r>
      <w:r w:rsidR="00DB1367" w:rsidRPr="00EB47FE">
        <w:rPr>
          <w:rFonts w:ascii="Times New Roman" w:hAnsi="Times New Roman" w:cs="Times New Roman"/>
        </w:rPr>
        <w:t>ии (модернизации) муниципального</w:t>
      </w:r>
      <w:r w:rsidRPr="00EB47FE">
        <w:rPr>
          <w:rFonts w:ascii="Times New Roman" w:hAnsi="Times New Roman" w:cs="Times New Roman"/>
        </w:rPr>
        <w:t xml:space="preserve">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Pr="00EB47FE">
        <w:rPr>
          <w:rFonts w:ascii="Times New Roman" w:hAnsi="Times New Roman" w:cs="Times New Roman"/>
        </w:rPr>
        <w:t>пгт</w:t>
      </w:r>
      <w:proofErr w:type="spellEnd"/>
      <w:r w:rsidRPr="00EB47FE">
        <w:rPr>
          <w:rFonts w:ascii="Times New Roman" w:hAnsi="Times New Roman" w:cs="Times New Roman"/>
        </w:rPr>
        <w:t xml:space="preserve">. Майна, </w:t>
      </w:r>
      <w:proofErr w:type="spellStart"/>
      <w:r w:rsidRPr="00EB47FE">
        <w:rPr>
          <w:rFonts w:ascii="Times New Roman" w:hAnsi="Times New Roman" w:cs="Times New Roman"/>
        </w:rPr>
        <w:t>пгт</w:t>
      </w:r>
      <w:proofErr w:type="spellEnd"/>
      <w:r w:rsidRPr="00EB47FE">
        <w:rPr>
          <w:rFonts w:ascii="Times New Roman" w:hAnsi="Times New Roman" w:cs="Times New Roman"/>
        </w:rPr>
        <w:t>. Черемушки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641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г.</w:t>
      </w:r>
      <w:r w:rsidR="00336106" w:rsidRPr="00EB47FE">
        <w:rPr>
          <w:rFonts w:ascii="Times New Roman" w:hAnsi="Times New Roman" w:cs="Times New Roman"/>
        </w:rPr>
        <w:t xml:space="preserve"> № 641).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644 </w:t>
      </w:r>
      <w:r w:rsidR="00DB1367" w:rsidRPr="00EB47FE">
        <w:rPr>
          <w:rFonts w:ascii="Times New Roman" w:hAnsi="Times New Roman" w:cs="Times New Roman"/>
        </w:rPr>
        <w:t>(ред. от 26.07.2018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 xml:space="preserve">г.) </w:t>
      </w:r>
      <w:r w:rsidRPr="00EB47FE">
        <w:rPr>
          <w:rFonts w:ascii="Times New Roman" w:hAnsi="Times New Roman" w:cs="Times New Roman"/>
        </w:rPr>
        <w:t>«Об утверждении Правил холодного водоснабжения и водоотведения и о внесении изменений в некоторые акты Прав</w:t>
      </w:r>
      <w:r w:rsidR="00DB1367" w:rsidRPr="00EB47FE">
        <w:rPr>
          <w:rFonts w:ascii="Times New Roman" w:hAnsi="Times New Roman" w:cs="Times New Roman"/>
        </w:rPr>
        <w:t>ительства Российской Федерации»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13.05.2013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406</w:t>
      </w:r>
      <w:r w:rsidR="00DB1367" w:rsidRPr="00EB47FE">
        <w:rPr>
          <w:rFonts w:ascii="Times New Roman" w:hAnsi="Times New Roman" w:cs="Times New Roman"/>
        </w:rPr>
        <w:t xml:space="preserve"> (ред. от 24.01.2019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г.)</w:t>
      </w:r>
      <w:r w:rsidRPr="00EB47FE">
        <w:rPr>
          <w:rFonts w:ascii="Times New Roman" w:hAnsi="Times New Roman" w:cs="Times New Roman"/>
        </w:rPr>
        <w:t xml:space="preserve"> «О государственном регулировании тарифов в сфере </w:t>
      </w:r>
      <w:r w:rsidR="00DB1367" w:rsidRPr="00EB47FE">
        <w:rPr>
          <w:rFonts w:ascii="Times New Roman" w:hAnsi="Times New Roman" w:cs="Times New Roman"/>
        </w:rPr>
        <w:t>водоснабжения и водоотведения»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13.02.2006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83</w:t>
      </w:r>
      <w:r w:rsidR="00DB1367" w:rsidRPr="00EB47FE">
        <w:rPr>
          <w:rFonts w:ascii="Times New Roman" w:hAnsi="Times New Roman" w:cs="Times New Roman"/>
        </w:rPr>
        <w:t xml:space="preserve"> (ред. от 05.07.2018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г.)</w:t>
      </w:r>
      <w:r w:rsidRPr="00EB47FE">
        <w:rPr>
          <w:rFonts w:ascii="Times New Roman" w:hAnsi="Times New Roman" w:cs="Times New Roman"/>
        </w:rPr>
        <w:t xml:space="preserve">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</w:t>
      </w:r>
      <w:r w:rsidR="00DB1367" w:rsidRPr="00EB47FE">
        <w:rPr>
          <w:rFonts w:ascii="Times New Roman" w:hAnsi="Times New Roman" w:cs="Times New Roman"/>
        </w:rPr>
        <w:t>нерно-технического обеспечения»</w:t>
      </w:r>
      <w:r w:rsidR="00336106" w:rsidRPr="00EB47FE">
        <w:rPr>
          <w:rFonts w:ascii="Times New Roman" w:hAnsi="Times New Roman" w:cs="Times New Roman"/>
        </w:rPr>
        <w:t>.</w:t>
      </w:r>
      <w:r w:rsidRPr="00EB47FE">
        <w:rPr>
          <w:rFonts w:ascii="Times New Roman" w:hAnsi="Times New Roman" w:cs="Times New Roman"/>
        </w:rPr>
        <w:t xml:space="preserve"> 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Приказ Минстроя России от 04.04.2014</w:t>
      </w:r>
      <w:r w:rsidR="00DE4238" w:rsidRPr="00EB47FE">
        <w:rPr>
          <w:rFonts w:ascii="Times New Roman" w:hAnsi="Times New Roman" w:cs="Times New Roman"/>
        </w:rPr>
        <w:t xml:space="preserve"> г.</w:t>
      </w:r>
      <w:r w:rsidRPr="00EB47FE">
        <w:rPr>
          <w:rFonts w:ascii="Times New Roman" w:hAnsi="Times New Roman" w:cs="Times New Roman"/>
        </w:rPr>
        <w:t xml:space="preserve">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</w:t>
      </w:r>
      <w:r w:rsidR="00DE4238" w:rsidRPr="00EB47FE">
        <w:rPr>
          <w:rFonts w:ascii="Times New Roman" w:hAnsi="Times New Roman" w:cs="Times New Roman"/>
        </w:rPr>
        <w:t>ких значений таких показателей»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Пос</w:t>
      </w:r>
      <w:r w:rsidR="00DB1367" w:rsidRPr="00EB47FE">
        <w:rPr>
          <w:rFonts w:ascii="Times New Roman" w:hAnsi="Times New Roman" w:cs="Times New Roman"/>
        </w:rPr>
        <w:t>тановление № 1082 от 05.08.2014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г. </w:t>
      </w:r>
      <w:r w:rsidR="00DB1367" w:rsidRPr="00EB47FE">
        <w:rPr>
          <w:rFonts w:ascii="Times New Roman" w:hAnsi="Times New Roman" w:cs="Times New Roman"/>
        </w:rPr>
        <w:t>(ред. от 16.02.2018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 xml:space="preserve">г.) </w:t>
      </w:r>
      <w:r w:rsidRPr="00EB47FE">
        <w:rPr>
          <w:rFonts w:ascii="Times New Roman" w:hAnsi="Times New Roman" w:cs="Times New Roman"/>
        </w:rPr>
        <w:t>"Об утверждении схемы водоснабжения и водоотведения муниципального образования г.</w:t>
      </w:r>
      <w:r w:rsidR="00DB1367" w:rsidRPr="00EB47FE">
        <w:rPr>
          <w:rFonts w:ascii="Times New Roman" w:hAnsi="Times New Roman" w:cs="Times New Roman"/>
        </w:rPr>
        <w:t xml:space="preserve"> </w:t>
      </w:r>
      <w:r w:rsidR="00DE4238" w:rsidRPr="00EB47FE">
        <w:rPr>
          <w:rFonts w:ascii="Times New Roman" w:hAnsi="Times New Roman" w:cs="Times New Roman"/>
        </w:rPr>
        <w:t>Саяногорск"</w:t>
      </w:r>
      <w:r w:rsidRPr="00EB47FE">
        <w:rPr>
          <w:rFonts w:ascii="Times New Roman" w:hAnsi="Times New Roman" w:cs="Times New Roman"/>
        </w:rPr>
        <w:t xml:space="preserve"> на </w:t>
      </w:r>
      <w:r w:rsidR="00DE4238" w:rsidRPr="00EB47FE">
        <w:rPr>
          <w:rFonts w:ascii="Times New Roman" w:hAnsi="Times New Roman" w:cs="Times New Roman"/>
        </w:rPr>
        <w:t xml:space="preserve">перспективу до 2024 </w:t>
      </w:r>
      <w:r w:rsidRPr="00EB47FE">
        <w:rPr>
          <w:rFonts w:ascii="Times New Roman" w:hAnsi="Times New Roman" w:cs="Times New Roman"/>
        </w:rPr>
        <w:t>г.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Прогноз  социально-экономического развития Российской Федерации на </w:t>
      </w:r>
      <w:r w:rsidR="00DB1367" w:rsidRPr="00EB47FE">
        <w:rPr>
          <w:rFonts w:ascii="Times New Roman" w:hAnsi="Times New Roman" w:cs="Times New Roman"/>
        </w:rPr>
        <w:t>период до 2024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="00DE4238" w:rsidRPr="00EB47FE">
        <w:rPr>
          <w:rFonts w:ascii="Times New Roman" w:hAnsi="Times New Roman" w:cs="Times New Roman"/>
        </w:rPr>
        <w:t xml:space="preserve">, </w:t>
      </w:r>
      <w:r w:rsidRPr="00EB47FE">
        <w:rPr>
          <w:rFonts w:ascii="Times New Roman" w:hAnsi="Times New Roman" w:cs="Times New Roman"/>
        </w:rPr>
        <w:t>разработанный Минэкономразвития России (далее - прогноз социально-экономического развития).</w:t>
      </w:r>
    </w:p>
    <w:p w:rsidR="004D097C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F5584B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:rsidR="00F5584B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</w:t>
      </w:r>
      <w:r w:rsidR="00DE4238">
        <w:rPr>
          <w:rFonts w:ascii="Times New Roman" w:hAnsi="Times New Roman" w:cs="Times New Roman"/>
        </w:rPr>
        <w:t>.</w:t>
      </w:r>
    </w:p>
    <w:p w:rsidR="00F5584B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="00DE4238">
        <w:rPr>
          <w:rFonts w:ascii="Times New Roman" w:hAnsi="Times New Roman" w:cs="Times New Roman"/>
          <w:sz w:val="24"/>
          <w:szCs w:val="24"/>
        </w:rPr>
        <w:t>.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>Зона деятельност</w:t>
      </w:r>
      <w:proofErr w:type="gramStart"/>
      <w:r w:rsidRPr="0097269A">
        <w:rPr>
          <w:rFonts w:ascii="Times New Roman" w:hAnsi="Times New Roman" w:cs="Times New Roman"/>
        </w:rPr>
        <w:t xml:space="preserve">и </w:t>
      </w:r>
      <w:r w:rsidR="00DE4238"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 w:rsidR="00DE4238">
        <w:rPr>
          <w:rFonts w:ascii="Times New Roman" w:hAnsi="Times New Roman" w:cs="Times New Roman"/>
          <w:sz w:val="24"/>
          <w:szCs w:val="24"/>
        </w:rPr>
        <w:t>.</w:t>
      </w:r>
    </w:p>
    <w:p w:rsidR="005D372D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:rsidR="00B90098" w:rsidRDefault="00B90098" w:rsidP="00EB47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EB47FE">
        <w:rPr>
          <w:rFonts w:ascii="Times New Roman" w:hAnsi="Times New Roman" w:cs="Times New Roman"/>
        </w:rPr>
        <w:t xml:space="preserve">5.1  </w:t>
      </w:r>
      <w:r w:rsidR="00F77A61" w:rsidRPr="00EB47FE">
        <w:rPr>
          <w:rFonts w:ascii="Times New Roman" w:hAnsi="Times New Roman" w:cs="Times New Roman"/>
        </w:rPr>
        <w:t xml:space="preserve">Инвестиционная программа разрабатывается </w:t>
      </w:r>
      <w:r w:rsidR="00F77A61" w:rsidRPr="00EB47FE">
        <w:rPr>
          <w:rFonts w:ascii="Times New Roman" w:hAnsi="Times New Roman" w:cs="Times New Roman"/>
          <w:sz w:val="24"/>
          <w:szCs w:val="24"/>
        </w:rPr>
        <w:t xml:space="preserve">ООО «Саяногорские </w:t>
      </w:r>
      <w:r w:rsidR="00DE4238" w:rsidRPr="00EB47FE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EB47FE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:rsidR="00F77A61" w:rsidRPr="00EB47FE" w:rsidRDefault="00B90098" w:rsidP="00EB47FE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EB47FE">
        <w:rPr>
          <w:rFonts w:ascii="Times New Roman" w:hAnsi="Times New Roman" w:cs="Times New Roman"/>
        </w:rPr>
        <w:t>период с 01.01.2021 г.</w:t>
      </w:r>
      <w:r w:rsidR="00F77A61" w:rsidRPr="00EB47FE">
        <w:rPr>
          <w:rFonts w:ascii="Times New Roman" w:hAnsi="Times New Roman" w:cs="Times New Roman"/>
        </w:rPr>
        <w:t xml:space="preserve"> по 31.12.20</w:t>
      </w:r>
      <w:r w:rsidR="00DE4238" w:rsidRPr="00EB47FE">
        <w:rPr>
          <w:rFonts w:ascii="Times New Roman" w:hAnsi="Times New Roman" w:cs="Times New Roman"/>
        </w:rPr>
        <w:t>2</w:t>
      </w:r>
      <w:r w:rsidR="009A166B" w:rsidRPr="00EB47FE">
        <w:rPr>
          <w:rFonts w:ascii="Times New Roman" w:hAnsi="Times New Roman" w:cs="Times New Roman"/>
        </w:rPr>
        <w:t>3 г.</w:t>
      </w:r>
    </w:p>
    <w:p w:rsidR="00F77A61" w:rsidRPr="00EB47FE" w:rsidRDefault="00F77A61" w:rsidP="00EB47FE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</w:t>
      </w:r>
      <w:r w:rsidR="00EB47FE" w:rsidRPr="00EB47FE">
        <w:rPr>
          <w:rFonts w:ascii="Times New Roman" w:hAnsi="Times New Roman" w:cs="Times New Roman"/>
        </w:rPr>
        <w:t>ожениями статьи 40 Федерального</w:t>
      </w:r>
      <w:r w:rsid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закона 416-ФЗ и постановления Правительства Российской Федерации от 29.07.2013 </w:t>
      </w:r>
      <w:r w:rsidR="00DE4238" w:rsidRPr="00EB47FE">
        <w:rPr>
          <w:rFonts w:ascii="Times New Roman" w:hAnsi="Times New Roman" w:cs="Times New Roman"/>
        </w:rPr>
        <w:t>г. № 641</w:t>
      </w:r>
      <w:r w:rsidR="00336106" w:rsidRPr="00EB47FE">
        <w:rPr>
          <w:rFonts w:ascii="Times New Roman" w:hAnsi="Times New Roman" w:cs="Times New Roman"/>
        </w:rPr>
        <w:t>.</w:t>
      </w:r>
    </w:p>
    <w:p w:rsidR="00DE4238" w:rsidRPr="00B9009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Цели и задачи инвестиционной программ</w:t>
      </w:r>
      <w:proofErr w:type="gramStart"/>
      <w:r w:rsidRPr="00B90098">
        <w:rPr>
          <w:rFonts w:ascii="Times New Roman" w:hAnsi="Times New Roman" w:cs="Times New Roman"/>
        </w:rPr>
        <w:t xml:space="preserve">ы </w:t>
      </w:r>
      <w:r w:rsidRPr="00B90098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B90098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 w:rsidR="00DE4238" w:rsidRPr="00B90098">
        <w:rPr>
          <w:rFonts w:ascii="Times New Roman" w:hAnsi="Times New Roman" w:cs="Times New Roman"/>
        </w:rPr>
        <w:t xml:space="preserve"> на 2021</w:t>
      </w:r>
      <w:r w:rsidRPr="00B90098">
        <w:rPr>
          <w:rFonts w:ascii="Times New Roman" w:hAnsi="Times New Roman" w:cs="Times New Roman"/>
        </w:rPr>
        <w:t>-20</w:t>
      </w:r>
      <w:r w:rsidR="00DE4238" w:rsidRPr="00B90098">
        <w:rPr>
          <w:rFonts w:ascii="Times New Roman" w:hAnsi="Times New Roman" w:cs="Times New Roman"/>
        </w:rPr>
        <w:t>23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B90098">
        <w:rPr>
          <w:rFonts w:ascii="Times New Roman" w:hAnsi="Times New Roman" w:cs="Times New Roman"/>
        </w:rPr>
        <w:t>ённых концессионных соглашений</w:t>
      </w:r>
      <w:r w:rsidR="00336106" w:rsidRPr="00B90098">
        <w:rPr>
          <w:rFonts w:ascii="Times New Roman" w:hAnsi="Times New Roman" w:cs="Times New Roman"/>
        </w:rPr>
        <w:t>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</w:t>
      </w:r>
      <w:proofErr w:type="gramStart"/>
      <w:r w:rsidRPr="00EB47FE">
        <w:rPr>
          <w:rFonts w:ascii="Times New Roman" w:hAnsi="Times New Roman" w:cs="Times New Roman"/>
        </w:rPr>
        <w:t>объектов</w:t>
      </w:r>
      <w:proofErr w:type="gramEnd"/>
      <w:r w:rsidRPr="00EB47FE">
        <w:rPr>
          <w:rFonts w:ascii="Times New Roman" w:hAnsi="Times New Roman" w:cs="Times New Roman"/>
        </w:rPr>
        <w:t xml:space="preserve"> централизованных систем водоснабжения и водоотведения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="00DE4238" w:rsidRPr="00EB47FE">
        <w:rPr>
          <w:rFonts w:ascii="Times New Roman" w:hAnsi="Times New Roman" w:cs="Times New Roman"/>
        </w:rPr>
        <w:t xml:space="preserve"> на 2021</w:t>
      </w:r>
      <w:r w:rsidRPr="00EB47FE">
        <w:rPr>
          <w:rFonts w:ascii="Times New Roman" w:hAnsi="Times New Roman" w:cs="Times New Roman"/>
        </w:rPr>
        <w:t>-20</w:t>
      </w:r>
      <w:r w:rsidR="00DE4238" w:rsidRPr="00EB47FE">
        <w:rPr>
          <w:rFonts w:ascii="Times New Roman" w:hAnsi="Times New Roman" w:cs="Times New Roman"/>
        </w:rPr>
        <w:t>23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</w:t>
      </w:r>
      <w:r w:rsidR="00DE4238" w:rsidRPr="00EB47FE">
        <w:rPr>
          <w:rFonts w:ascii="Times New Roman" w:hAnsi="Times New Roman" w:cs="Times New Roman"/>
        </w:rPr>
        <w:t>с описанием и указанием места</w:t>
      </w:r>
      <w:r w:rsidRPr="00EB47FE">
        <w:rPr>
          <w:rFonts w:ascii="Times New Roman" w:hAnsi="Times New Roman" w:cs="Times New Roman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EB47FE">
        <w:rPr>
          <w:rFonts w:ascii="Times New Roman" w:hAnsi="Times New Roman" w:cs="Times New Roman"/>
        </w:rPr>
        <w:t xml:space="preserve"> и после реализации мероприятия.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 заключённых концессионных соглашений</w:t>
      </w:r>
      <w:r w:rsidR="00336106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подлежат включ</w:t>
      </w:r>
      <w:r w:rsidR="00336106" w:rsidRPr="00EB47FE">
        <w:rPr>
          <w:rFonts w:ascii="Times New Roman" w:hAnsi="Times New Roman" w:cs="Times New Roman"/>
        </w:rPr>
        <w:t>ению в инвестиционную программу</w:t>
      </w:r>
      <w:r w:rsidR="004D097C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</w:t>
      </w:r>
      <w:r w:rsidR="00336106" w:rsidRPr="00EB47FE">
        <w:rPr>
          <w:rFonts w:ascii="Times New Roman" w:hAnsi="Times New Roman" w:cs="Times New Roman"/>
        </w:rPr>
        <w:t>ствии со сроками их выполнения.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1.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  <w:proofErr w:type="gramEnd"/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2.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3.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</w:t>
      </w:r>
      <w:r w:rsidR="00336106" w:rsidRPr="00EB47FE">
        <w:rPr>
          <w:rFonts w:ascii="Times New Roman" w:hAnsi="Times New Roman" w:cs="Times New Roman"/>
        </w:rPr>
        <w:t xml:space="preserve"> и после проведения мероприятий.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4.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</w:t>
      </w:r>
      <w:proofErr w:type="spellStart"/>
      <w:r w:rsidRPr="00EB47FE">
        <w:rPr>
          <w:rFonts w:ascii="Times New Roman" w:hAnsi="Times New Roman" w:cs="Times New Roman"/>
        </w:rPr>
        <w:t>энергоэффективности</w:t>
      </w:r>
      <w:proofErr w:type="spellEnd"/>
      <w:r w:rsidRPr="00EB47FE">
        <w:rPr>
          <w:rFonts w:ascii="Times New Roman" w:hAnsi="Times New Roman" w:cs="Times New Roman"/>
        </w:rPr>
        <w:t xml:space="preserve"> объектов централизованных систем водоснабжения и (или) водоотведения, не включённых в прочие группы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5.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:rsidR="00F77A61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:rsidR="004D097C" w:rsidRPr="00EB47FE" w:rsidRDefault="004D097C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EB47FE">
        <w:rPr>
          <w:rFonts w:ascii="Times New Roman" w:hAnsi="Times New Roman" w:cs="Times New Roman"/>
        </w:rPr>
        <w:t>систем холодного водоснабжения</w:t>
      </w:r>
      <w:r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="00336106" w:rsidRPr="00EB47FE">
        <w:rPr>
          <w:rFonts w:ascii="Times New Roman" w:hAnsi="Times New Roman" w:cs="Times New Roman"/>
        </w:rPr>
        <w:t>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</w:t>
      </w:r>
      <w:r w:rsidR="00336106" w:rsidRPr="00EB47FE">
        <w:rPr>
          <w:rFonts w:ascii="Times New Roman" w:hAnsi="Times New Roman" w:cs="Times New Roman"/>
        </w:rPr>
        <w:t xml:space="preserve">овый план по годам реализации, </w:t>
      </w:r>
      <w:r w:rsidRPr="00EB47FE">
        <w:rPr>
          <w:rFonts w:ascii="Times New Roman" w:hAnsi="Times New Roman" w:cs="Times New Roman"/>
        </w:rPr>
        <w:t>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</w:t>
      </w:r>
      <w:r w:rsidRPr="00EB47FE">
        <w:rPr>
          <w:rFonts w:ascii="Times New Roman" w:hAnsi="Times New Roman" w:cs="Times New Roman"/>
        </w:rPr>
        <w:lastRenderedPageBreak/>
        <w:t>подключение к централизованным системам водоснабжения и (или) водоотведения (раздельно по каждой системе), - займы и кредиты;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 w:rsidR="004D097C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:rsidR="00F77A61" w:rsidRPr="00EB47FE" w:rsidRDefault="004D097C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77A61" w:rsidRPr="00EB47FE">
        <w:rPr>
          <w:rFonts w:ascii="Times New Roman" w:hAnsi="Times New Roman" w:cs="Times New Roman"/>
        </w:rPr>
        <w:t>Стоимость мероприятий Инвестиционной программы в  перечне мероприятий по годам реализации должна соответствовать объёмам финансир</w:t>
      </w:r>
      <w:r w:rsidR="00336106" w:rsidRPr="00EB47FE">
        <w:rPr>
          <w:rFonts w:ascii="Times New Roman" w:hAnsi="Times New Roman" w:cs="Times New Roman"/>
        </w:rPr>
        <w:t>ования Инвестиционной программы.</w:t>
      </w:r>
    </w:p>
    <w:p w:rsidR="008C44F7" w:rsidRPr="008C44F7" w:rsidRDefault="008C44F7" w:rsidP="008C44F7">
      <w:pPr>
        <w:spacing w:after="0"/>
        <w:jc w:val="both"/>
        <w:rPr>
          <w:rFonts w:ascii="Times New Roman" w:hAnsi="Times New Roman" w:cs="Times New Roman"/>
          <w:b/>
        </w:rPr>
      </w:pPr>
    </w:p>
    <w:p w:rsidR="008C44F7" w:rsidRPr="008C44F7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:rsidR="008C44F7" w:rsidRPr="00B90098" w:rsidRDefault="00B90098" w:rsidP="00B90098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="008C44F7"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:rsidR="008C44F7" w:rsidRPr="00B9009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C44F7"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- потребности изменения показателей надёжности, качества и </w:t>
      </w:r>
      <w:proofErr w:type="spellStart"/>
      <w:r w:rsidRPr="00B90098">
        <w:rPr>
          <w:rFonts w:ascii="Times New Roman" w:hAnsi="Times New Roman" w:cs="Times New Roman"/>
        </w:rPr>
        <w:t>энергоэффективности</w:t>
      </w:r>
      <w:proofErr w:type="spellEnd"/>
      <w:r w:rsidRPr="00B90098">
        <w:rPr>
          <w:rFonts w:ascii="Times New Roman" w:hAnsi="Times New Roman" w:cs="Times New Roman"/>
        </w:rPr>
        <w:t xml:space="preserve"> объектов централизованных систем водоснабжения и водоотведения ООО «СКС».</w:t>
      </w:r>
    </w:p>
    <w:p w:rsidR="00F5584B" w:rsidRPr="00B9009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C44F7" w:rsidRPr="00B90098">
        <w:rPr>
          <w:rFonts w:ascii="Times New Roman" w:hAnsi="Times New Roman" w:cs="Times New Roman"/>
        </w:rPr>
        <w:t>Комитет по ЖКХ и транспорту г. Саяногорска, в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вправе вносить изменения в утверждённое Техническое задание.</w:t>
      </w:r>
    </w:p>
    <w:p w:rsidR="008C44F7" w:rsidRDefault="008C44F7" w:rsidP="009247E2">
      <w:pPr>
        <w:spacing w:after="0"/>
        <w:rPr>
          <w:rFonts w:ascii="Times New Roman" w:hAnsi="Times New Roman" w:cs="Times New Roman"/>
        </w:rPr>
      </w:pPr>
    </w:p>
    <w:p w:rsidR="008C44F7" w:rsidRPr="008C44F7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:rsidR="008C44F7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</w:t>
      </w:r>
      <w:proofErr w:type="gramEnd"/>
      <w:r w:rsidRPr="00A4685F">
        <w:rPr>
          <w:rFonts w:ascii="Times New Roman" w:eastAsia="Times New Roman" w:hAnsi="Times New Roman" w:cs="Times New Roman"/>
          <w:lang w:eastAsia="ru-RU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D097C" w:rsidRDefault="004D097C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97C" w:rsidRDefault="004D097C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97C" w:rsidRDefault="004D097C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97C" w:rsidRDefault="004D097C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0DF" w:rsidRDefault="002250DF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97C" w:rsidRPr="00A4685F" w:rsidRDefault="004D097C" w:rsidP="008C44F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4F7" w:rsidRDefault="008C44F7" w:rsidP="00EB47FE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</w:t>
      </w:r>
      <w:r w:rsidRPr="009C4866">
        <w:rPr>
          <w:rFonts w:ascii="Times New Roman" w:hAnsi="Times New Roman" w:cs="Times New Roman"/>
          <w:b/>
          <w:sz w:val="24"/>
        </w:rPr>
        <w:t>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:rsidR="008C44F7" w:rsidRDefault="008C44F7" w:rsidP="008C44F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09"/>
        <w:gridCol w:w="55"/>
        <w:gridCol w:w="1046"/>
        <w:gridCol w:w="33"/>
        <w:gridCol w:w="992"/>
        <w:gridCol w:w="1134"/>
        <w:gridCol w:w="1134"/>
      </w:tblGrid>
      <w:tr w:rsidR="008C44F7" w:rsidRPr="00C53738" w:rsidTr="004D097C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93" w:type="dxa"/>
            <w:gridSpan w:val="4"/>
            <w:shd w:val="clear" w:color="auto" w:fill="auto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C44F7" w:rsidRPr="00C53738" w:rsidTr="004D097C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2020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8C44F7" w:rsidRPr="00C53738" w:rsidTr="004D097C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8"/>
            <w:shd w:val="clear" w:color="auto" w:fill="EEECE1" w:themeFill="background2"/>
            <w:noWrap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="008C44F7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8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C44F7" w:rsidRPr="00C53738" w:rsidTr="004D097C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65D71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C53738" w:rsidTr="004D097C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65D71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210" w:type="dxa"/>
            <w:gridSpan w:val="8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6734EF" w:rsidRPr="00C53738" w:rsidTr="004D097C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6734EF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6734EF" w:rsidRPr="00665D71" w:rsidRDefault="006734EF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6734EF" w:rsidRPr="009C4866" w:rsidRDefault="006734EF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6734EF" w:rsidRPr="009C4866" w:rsidRDefault="006734EF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0,20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  <w:hideMark/>
          </w:tcPr>
          <w:p w:rsidR="006734EF" w:rsidRPr="009C4866" w:rsidRDefault="006734EF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734EF" w:rsidRPr="009C4866" w:rsidRDefault="006734EF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34EF" w:rsidRPr="009C4866" w:rsidRDefault="006734EF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0,19</w:t>
            </w:r>
          </w:p>
        </w:tc>
      </w:tr>
      <w:tr w:rsidR="009A166B" w:rsidRPr="00C53738" w:rsidTr="004D097C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9A166B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9A166B" w:rsidRPr="00665D71" w:rsidRDefault="009A166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ед./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0,27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0,26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210" w:type="dxa"/>
            <w:gridSpan w:val="8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9A166B" w:rsidRPr="00C53738" w:rsidTr="004D097C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9A166B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9A166B" w:rsidRPr="009C4866" w:rsidRDefault="009A166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:rsidR="009A166B" w:rsidRPr="00C53738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0,39</w:t>
            </w:r>
          </w:p>
        </w:tc>
      </w:tr>
      <w:tr w:rsidR="007049CC" w:rsidRPr="00C53738" w:rsidTr="004D097C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65D71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025" w:type="dxa"/>
            <w:gridSpan w:val="2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8C44F7" w:rsidRPr="00C53738" w:rsidTr="004D097C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210" w:type="dxa"/>
            <w:gridSpan w:val="8"/>
            <w:shd w:val="clear" w:color="auto" w:fill="EEECE1" w:themeFill="background2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210" w:type="dxa"/>
            <w:gridSpan w:val="8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7049CC" w:rsidRPr="00C53738" w:rsidTr="004D097C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65D71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7049CC" w:rsidRPr="00C53738" w:rsidTr="004D097C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65D71" w:rsidRDefault="007049CC" w:rsidP="007049CC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   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210" w:type="dxa"/>
            <w:gridSpan w:val="8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7049CC" w:rsidRPr="009C4866" w:rsidTr="004D097C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9C4866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70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1,90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1,90</w:t>
            </w:r>
          </w:p>
        </w:tc>
      </w:tr>
      <w:tr w:rsidR="008C44F7" w:rsidRPr="00C53738" w:rsidTr="004D097C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210" w:type="dxa"/>
            <w:gridSpan w:val="8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7049CC" w:rsidRPr="00C53738" w:rsidTr="004D097C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9C4866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49CC" w:rsidRPr="00C53738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038</w:t>
            </w:r>
          </w:p>
        </w:tc>
      </w:tr>
    </w:tbl>
    <w:p w:rsidR="008C44F7" w:rsidRDefault="008C44F7" w:rsidP="008C44F7">
      <w:r>
        <w:br w:type="page"/>
      </w:r>
    </w:p>
    <w:p w:rsidR="008C44F7" w:rsidRDefault="008C44F7" w:rsidP="008C44F7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C44F7" w:rsidSect="002250DF"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:rsidR="008C44F7" w:rsidRPr="00F6377E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6377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2020-2023 гг.</w:t>
      </w:r>
    </w:p>
    <w:tbl>
      <w:tblPr>
        <w:tblW w:w="1604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931"/>
        <w:gridCol w:w="3858"/>
        <w:gridCol w:w="1878"/>
        <w:gridCol w:w="1421"/>
      </w:tblGrid>
      <w:tr w:rsidR="008C44F7" w:rsidRPr="009C4866" w:rsidTr="008C44F7">
        <w:trPr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3299" w:type="dxa"/>
            <w:gridSpan w:val="2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обьектов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:rsidTr="008C44F7">
        <w:trPr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8C44F7">
        <w:trPr>
          <w:trHeight w:val="60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8C44F7">
        <w:trPr>
          <w:trHeight w:val="239"/>
        </w:trPr>
        <w:tc>
          <w:tcPr>
            <w:tcW w:w="16040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:rsidTr="008C44F7">
        <w:trPr>
          <w:trHeight w:val="271"/>
        </w:trPr>
        <w:tc>
          <w:tcPr>
            <w:tcW w:w="16040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8C44F7">
        <w:trPr>
          <w:trHeight w:val="289"/>
        </w:trPr>
        <w:tc>
          <w:tcPr>
            <w:tcW w:w="16040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8C44F7">
        <w:trPr>
          <w:trHeight w:val="60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8C44F7">
        <w:trPr>
          <w:trHeight w:val="463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Техническое  перевооружение участка водопроводной сети инв. № 620169, г. Саяногорск, ул.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Ракетная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 от ВК21 до ВК19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 от комплекса водозаборных сооружений 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напорного резервуара чистой воды по адресу: РХ,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Дорожная, 6, до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Звездная, 1а, Литера Л,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Инв. № 620169 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(Участок водопр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оводной  сети  от ВК21 до ВК19)</w:t>
            </w:r>
          </w:p>
        </w:tc>
        <w:tc>
          <w:tcPr>
            <w:tcW w:w="3858" w:type="dxa"/>
            <w:shd w:val="clear" w:color="auto" w:fill="auto"/>
            <w:hideMark/>
          </w:tcPr>
          <w:p w:rsidR="00287489" w:rsidRPr="009C4866" w:rsidRDefault="00287489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   исполнения    обязательств, на объектах 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287489" w:rsidRPr="009C4866" w:rsidTr="008C44F7">
        <w:trPr>
          <w:trHeight w:val="463"/>
        </w:trPr>
        <w:tc>
          <w:tcPr>
            <w:tcW w:w="677" w:type="dxa"/>
            <w:vMerge/>
            <w:shd w:val="clear" w:color="auto" w:fill="auto"/>
            <w:noWrap/>
          </w:tcPr>
          <w:p w:rsidR="00287489" w:rsidRPr="00865112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8C44F7">
        <w:trPr>
          <w:trHeight w:val="660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3.1.2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Техническое перевооружение участка  сети водоснабжения инв.№32,   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ул. Набережная, от ВК-2 до ВРК-6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Водопроводная сеть, расположенная по адресу: РХ, г. Саяногорск,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Майна, ул.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Дивногорская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от ТК-59б в районе жилого дома 8, через ТК-1, ТК-5, ВКР-1, ВК-1, ВРК-2, ВРК-3, ВК-5 до ВРК-6 в районе жилого дома 85 по улице Набережная, литера Л.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(Участок водопроводной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от ВК-2 до ВРК-6)</w:t>
            </w:r>
          </w:p>
        </w:tc>
        <w:tc>
          <w:tcPr>
            <w:tcW w:w="3858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   исполнения    обязательств, на объектах  централизованной     системы     холодного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B81D15" w:rsidRPr="009C4866" w:rsidRDefault="00B81D1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287489" w:rsidRPr="009C4866" w:rsidTr="008C44F7">
        <w:trPr>
          <w:trHeight w:val="163"/>
        </w:trPr>
        <w:tc>
          <w:tcPr>
            <w:tcW w:w="677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287489" w:rsidRPr="009C4866" w:rsidTr="008C44F7">
        <w:trPr>
          <w:trHeight w:val="255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287489" w:rsidRPr="009C4866" w:rsidTr="008C44F7">
        <w:trPr>
          <w:trHeight w:val="1181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4763FC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highlight w:val="green"/>
                <w:lang w:eastAsia="ru-RU"/>
              </w:rPr>
            </w:pPr>
            <w:r w:rsidRPr="004763F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насосной станции 2-ого подъёма г. Саяногорск. Модернизация сетевых насосов  200 Д-90 ст. №  2, 4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2-го подъема  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район базы "Абакан-Лада", (4 км т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рассы Саяногорск-Абакан)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язанное с недвижимым имуществом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: 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насосная установка 2, инв. № 333856;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насосная установка 4, инв. № 333858.</w:t>
            </w:r>
          </w:p>
        </w:tc>
        <w:tc>
          <w:tcPr>
            <w:tcW w:w="3858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045FF2">
        <w:trPr>
          <w:trHeight w:val="365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системы обеззараживания  Аквахлор-500 НС-2 п. Черемушки, 3 шт., НС-2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 - 2 шт.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мплекс водозаборных сооружений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(насосная станция 2-го подъема) по адресу: РХ, г. Саяногорск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В. (инв. № 110011)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2-го п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одъема (фильтровальная станция)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адресу: Республика Хакасия, г. С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</w:t>
            </w:r>
            <w:r w:rsidR="004D097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Pr="009C4866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перерывов в подаче воды, зафиксированных в    местах    исполнения    обязательств, по подаче холодной   воды,   возникших   в   результате   аварий, повреждений и иных технологических нарушений на объектах     централизованной     сист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емы     холодного водоснабжения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 ед./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01A9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 ед./</w:t>
            </w:r>
            <w:proofErr w:type="gramStart"/>
            <w:r w:rsidRPr="00401A9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км</w:t>
            </w:r>
            <w:proofErr w:type="gramEnd"/>
          </w:p>
        </w:tc>
      </w:tr>
      <w:tr w:rsidR="00287489" w:rsidRPr="009C4866" w:rsidTr="008C44F7">
        <w:trPr>
          <w:trHeight w:val="203"/>
        </w:trPr>
        <w:tc>
          <w:tcPr>
            <w:tcW w:w="16040" w:type="dxa"/>
            <w:gridSpan w:val="6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287489" w:rsidRPr="009C4866" w:rsidTr="009A166B">
        <w:trPr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на НС 3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подъема г. Саяногорск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 3-го подъема (комплекс водозаборных сооружений водозабора № 1), по адресу: Республика Хакасия, 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ультразвукового расхо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домера US800 в насосной станции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287489" w:rsidRPr="009C4866" w:rsidTr="004D097C">
        <w:trPr>
          <w:trHeight w:val="1170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системы освещения территории НС-2 г. Саяногорск.  Замена ламп ДРЛ на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светильники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изготовленные по LED технологии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2-го подъема  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район базы "Абакан-Лада", (4 км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трассы Саяногорск-Аб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акан), инв.№ 30058;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Наружное освещение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насосной станции 2-ого подъема;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ламп ДРЛ на светодиодные 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светильники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изготовле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нные по LED технологии (22 шт.)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4D097C" w:rsidRPr="009C4866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287489" w:rsidRPr="009C4866" w:rsidTr="004D097C">
        <w:trPr>
          <w:trHeight w:val="72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Водоотведение</w:t>
            </w:r>
          </w:p>
        </w:tc>
      </w:tr>
      <w:tr w:rsidR="00287489" w:rsidRPr="009C4866" w:rsidTr="008C44F7">
        <w:trPr>
          <w:trHeight w:val="353"/>
        </w:trPr>
        <w:tc>
          <w:tcPr>
            <w:tcW w:w="16040" w:type="dxa"/>
            <w:gridSpan w:val="6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287489" w:rsidRPr="009C4866" w:rsidTr="008C44F7">
        <w:trPr>
          <w:trHeight w:val="273"/>
        </w:trPr>
        <w:tc>
          <w:tcPr>
            <w:tcW w:w="16040" w:type="dxa"/>
            <w:gridSpan w:val="6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287489" w:rsidRPr="009C4866" w:rsidTr="008C44F7">
        <w:trPr>
          <w:trHeight w:val="263"/>
        </w:trPr>
        <w:tc>
          <w:tcPr>
            <w:tcW w:w="16040" w:type="dxa"/>
            <w:gridSpan w:val="6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287489" w:rsidRPr="009C4866" w:rsidTr="008C44F7">
        <w:trPr>
          <w:trHeight w:val="255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287489" w:rsidRPr="009C4866" w:rsidTr="008C44F7">
        <w:trPr>
          <w:trHeight w:val="255"/>
        </w:trPr>
        <w:tc>
          <w:tcPr>
            <w:tcW w:w="16040" w:type="dxa"/>
            <w:gridSpan w:val="6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287489" w:rsidRPr="009C4866" w:rsidTr="008C44F7">
        <w:trPr>
          <w:trHeight w:val="559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 на КНС 3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насос  ФГ 57,5/9,5 (2 шт.)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F34EE4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 3,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Ленина, 76А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878" w:type="dxa"/>
            <w:vMerge w:val="restart"/>
            <w:shd w:val="clear" w:color="auto" w:fill="auto"/>
            <w:noWrap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</w:tc>
        <w:tc>
          <w:tcPr>
            <w:tcW w:w="1421" w:type="dxa"/>
            <w:vMerge w:val="restart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</w:tc>
      </w:tr>
      <w:tr w:rsidR="00287489" w:rsidRPr="009C4866" w:rsidTr="008C44F7">
        <w:trPr>
          <w:trHeight w:val="560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 на КНС 4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насос  ФГ 115/38 А (1 шт.)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</w:t>
            </w:r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Гагарина, 159Б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287489" w:rsidRPr="009C4866" w:rsidTr="008C44F7">
        <w:trPr>
          <w:trHeight w:val="560"/>
        </w:trPr>
        <w:tc>
          <w:tcPr>
            <w:tcW w:w="677" w:type="dxa"/>
            <w:shd w:val="clear" w:color="auto" w:fill="auto"/>
            <w:noWrap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3.2.3</w:t>
            </w:r>
          </w:p>
        </w:tc>
        <w:tc>
          <w:tcPr>
            <w:tcW w:w="3275" w:type="dxa"/>
            <w:shd w:val="clear" w:color="auto" w:fill="auto"/>
          </w:tcPr>
          <w:p w:rsidR="00287489" w:rsidRPr="00957CC7" w:rsidRDefault="00287489" w:rsidP="00E7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ПСД на реконструкцию   комплекса очистных сооружений  г. Саяногорск, 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</w:t>
            </w:r>
          </w:p>
        </w:tc>
        <w:tc>
          <w:tcPr>
            <w:tcW w:w="4931" w:type="dxa"/>
            <w:shd w:val="clear" w:color="auto" w:fill="auto"/>
          </w:tcPr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ыполнение проектно-изыскательских работ по  реконструкции КОС г. Саяногорск, </w:t>
            </w:r>
            <w:proofErr w:type="spellStart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</w:t>
            </w:r>
            <w:proofErr w:type="spellStart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прохождением гос. экспертизы</w:t>
            </w:r>
          </w:p>
        </w:tc>
        <w:tc>
          <w:tcPr>
            <w:tcW w:w="3858" w:type="dxa"/>
            <w:vAlign w:val="center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878" w:type="dxa"/>
            <w:vAlign w:val="center"/>
          </w:tcPr>
          <w:p w:rsidR="00287489" w:rsidRPr="009C4866" w:rsidRDefault="00287489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vAlign w:val="center"/>
          </w:tcPr>
          <w:p w:rsidR="00287489" w:rsidRPr="009C4866" w:rsidRDefault="00287489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8C44F7">
        <w:trPr>
          <w:trHeight w:val="560"/>
        </w:trPr>
        <w:tc>
          <w:tcPr>
            <w:tcW w:w="677" w:type="dxa"/>
            <w:shd w:val="clear" w:color="auto" w:fill="auto"/>
            <w:noWrap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</w:tcPr>
          <w:p w:rsidR="00287489" w:rsidRPr="00957CC7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 оборудования КНС-4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замена механических грабель МГ-11Т, дробилки Д-3Д на решетку-дробилку</w:t>
            </w:r>
          </w:p>
        </w:tc>
        <w:tc>
          <w:tcPr>
            <w:tcW w:w="4931" w:type="dxa"/>
            <w:shd w:val="clear" w:color="auto" w:fill="auto"/>
          </w:tcPr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 №4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48Б;</w:t>
            </w:r>
          </w:p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недвижимым имуществом: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 11Т, инв. №0789;</w:t>
            </w:r>
          </w:p>
          <w:p w:rsidR="00287489" w:rsidRPr="009C4866" w:rsidRDefault="00287489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Д-35, инв. №0896</w:t>
            </w:r>
          </w:p>
        </w:tc>
        <w:tc>
          <w:tcPr>
            <w:tcW w:w="3858" w:type="dxa"/>
            <w:vAlign w:val="center"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:rsidR="004D097C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:rsidR="004D097C" w:rsidRPr="00E74285" w:rsidRDefault="004D097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Align w:val="center"/>
          </w:tcPr>
          <w:p w:rsidR="00287489" w:rsidRDefault="00287489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vAlign w:val="center"/>
          </w:tcPr>
          <w:p w:rsidR="00287489" w:rsidRDefault="00287489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8C44F7">
        <w:trPr>
          <w:trHeight w:val="253"/>
        </w:trPr>
        <w:tc>
          <w:tcPr>
            <w:tcW w:w="16040" w:type="dxa"/>
            <w:gridSpan w:val="6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водоотведения, не включённых в прочие группы мероприятий</w:t>
            </w:r>
          </w:p>
        </w:tc>
      </w:tr>
      <w:tr w:rsidR="00287489" w:rsidRPr="009C4866" w:rsidTr="008C44F7">
        <w:trPr>
          <w:trHeight w:val="740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системы наружного освещения инв. № 210039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г. Саяногорск;</w:t>
            </w:r>
          </w:p>
          <w:p w:rsidR="00287489" w:rsidRPr="00957CC7" w:rsidRDefault="00287489" w:rsidP="0022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светильников уличного освещения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энергосберегающие  </w:t>
            </w:r>
          </w:p>
        </w:tc>
        <w:tc>
          <w:tcPr>
            <w:tcW w:w="4931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>по адресу: Республика Хакасия, г.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Саяногорск, 8-ой км   а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втодороги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«магистраль Саяногорск-Абакан»</w:t>
            </w:r>
          </w:p>
        </w:tc>
        <w:tc>
          <w:tcPr>
            <w:tcW w:w="3858" w:type="dxa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объёма очищаемых сточных вод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</w:tc>
      </w:tr>
      <w:tr w:rsidR="00287489" w:rsidRPr="009C4866" w:rsidTr="00E74285">
        <w:trPr>
          <w:trHeight w:val="507"/>
        </w:trPr>
        <w:tc>
          <w:tcPr>
            <w:tcW w:w="677" w:type="dxa"/>
            <w:shd w:val="clear" w:color="auto" w:fill="auto"/>
            <w:noWrap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:rsidR="00287489" w:rsidRPr="00957CC7" w:rsidRDefault="00287489" w:rsidP="00E74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илососа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ИВР-18MCN/2  на вторичном отстойнике КОС г. Саяногорска, 2 шт.</w:t>
            </w:r>
          </w:p>
        </w:tc>
        <w:tc>
          <w:tcPr>
            <w:tcW w:w="4931" w:type="dxa"/>
            <w:shd w:val="clear" w:color="auto" w:fill="auto"/>
          </w:tcPr>
          <w:p w:rsidR="00287489" w:rsidRPr="00B875B3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858" w:type="dxa"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E74285">
        <w:trPr>
          <w:trHeight w:val="507"/>
        </w:trPr>
        <w:tc>
          <w:tcPr>
            <w:tcW w:w="677" w:type="dxa"/>
            <w:shd w:val="clear" w:color="auto" w:fill="auto"/>
            <w:noWrap/>
          </w:tcPr>
          <w:p w:rsidR="00287489" w:rsidRPr="004763FC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4.3</w:t>
            </w:r>
          </w:p>
        </w:tc>
        <w:tc>
          <w:tcPr>
            <w:tcW w:w="3275" w:type="dxa"/>
            <w:shd w:val="clear" w:color="auto" w:fill="auto"/>
          </w:tcPr>
          <w:p w:rsidR="00287489" w:rsidRPr="00957CC7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г. Саяногорск,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</w:t>
            </w:r>
          </w:p>
        </w:tc>
        <w:tc>
          <w:tcPr>
            <w:tcW w:w="4931" w:type="dxa"/>
            <w:shd w:val="clear" w:color="auto" w:fill="auto"/>
          </w:tcPr>
          <w:p w:rsidR="00287489" w:rsidRPr="00957CC7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287489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Саяногорск, 8-ой км. Автодороги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«магистраль Саяногорск-Абакан»;</w:t>
            </w:r>
          </w:p>
          <w:p w:rsidR="00287489" w:rsidRPr="00957CC7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287489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Промышленная, 1б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;</w:t>
            </w:r>
          </w:p>
          <w:p w:rsidR="00287489" w:rsidRPr="00957CC7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287489" w:rsidRPr="009C4866" w:rsidRDefault="00287489" w:rsidP="00957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Промышленная, 1б</w:t>
            </w:r>
          </w:p>
        </w:tc>
        <w:tc>
          <w:tcPr>
            <w:tcW w:w="3858" w:type="dxa"/>
            <w:shd w:val="clear" w:color="auto" w:fill="auto"/>
          </w:tcPr>
          <w:p w:rsidR="00287489" w:rsidRPr="00E74285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объёма очищаемых сточных вод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1,038 </w:t>
            </w:r>
          </w:p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/м3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Default="00287489" w:rsidP="0063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1,038 </w:t>
            </w:r>
          </w:p>
          <w:p w:rsidR="00287489" w:rsidRDefault="00287489" w:rsidP="0063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/м3</w:t>
            </w:r>
          </w:p>
        </w:tc>
      </w:tr>
      <w:tr w:rsidR="00287489" w:rsidRPr="009C4866" w:rsidTr="004D097C">
        <w:trPr>
          <w:trHeight w:val="331"/>
        </w:trPr>
        <w:tc>
          <w:tcPr>
            <w:tcW w:w="16040" w:type="dxa"/>
            <w:gridSpan w:val="6"/>
            <w:shd w:val="clear" w:color="auto" w:fill="auto"/>
            <w:noWrap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287489" w:rsidRPr="009C4866" w:rsidTr="008C44F7">
        <w:trPr>
          <w:trHeight w:val="506"/>
        </w:trPr>
        <w:tc>
          <w:tcPr>
            <w:tcW w:w="16040" w:type="dxa"/>
            <w:gridSpan w:val="6"/>
            <w:shd w:val="clear" w:color="auto" w:fill="auto"/>
            <w:noWrap/>
          </w:tcPr>
          <w:p w:rsidR="00287489" w:rsidRPr="00957CC7" w:rsidRDefault="00287489" w:rsidP="0022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 w:rsidR="002250DF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 w:rsidR="002250DF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 w:rsidR="002250DF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287489" w:rsidRPr="009C4866" w:rsidTr="008C44F7">
        <w:trPr>
          <w:trHeight w:val="740"/>
        </w:trPr>
        <w:tc>
          <w:tcPr>
            <w:tcW w:w="677" w:type="dxa"/>
            <w:shd w:val="clear" w:color="auto" w:fill="auto"/>
            <w:noWrap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установок 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</w:t>
            </w:r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 2 шт., </w:t>
            </w:r>
            <w:proofErr w:type="spellStart"/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инв</w:t>
            </w:r>
            <w:proofErr w:type="spellEnd"/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ОС21737, №3, на КОС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р.п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 4шт., </w:t>
            </w:r>
            <w:proofErr w:type="spellStart"/>
            <w:proofErr w:type="gramStart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инв</w:t>
            </w:r>
            <w:proofErr w:type="spellEnd"/>
            <w:proofErr w:type="gramEnd"/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100065</w:t>
            </w:r>
          </w:p>
        </w:tc>
        <w:tc>
          <w:tcPr>
            <w:tcW w:w="4931" w:type="dxa"/>
            <w:shd w:val="clear" w:color="auto" w:fill="auto"/>
          </w:tcPr>
          <w:p w:rsidR="00287489" w:rsidRPr="00437CC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437CC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улица Промышленная, 1б</w:t>
            </w:r>
          </w:p>
        </w:tc>
        <w:tc>
          <w:tcPr>
            <w:tcW w:w="3858" w:type="dxa"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878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</w:tbl>
    <w:p w:rsidR="008C44F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8C44F7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:rsidR="008C44F7" w:rsidRPr="00EE2B56" w:rsidRDefault="008C44F7" w:rsidP="00EB47FE">
      <w:pPr>
        <w:pStyle w:val="ConsPlusNormal"/>
        <w:numPr>
          <w:ilvl w:val="0"/>
          <w:numId w:val="21"/>
        </w:numPr>
        <w:spacing w:before="220"/>
        <w:jc w:val="center"/>
        <w:rPr>
          <w:rFonts w:ascii="Times New Roman" w:hAnsi="Times New Roman" w:cs="Times New Roman"/>
          <w:b/>
        </w:rPr>
      </w:pPr>
      <w:r w:rsidRPr="00EE2B56">
        <w:rPr>
          <w:rFonts w:ascii="Times New Roman" w:hAnsi="Times New Roman" w:cs="Times New Roman"/>
          <w:b/>
        </w:rPr>
        <w:lastRenderedPageBreak/>
        <w:t>Перечень мероприятий по защите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C44F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9"/>
        <w:gridCol w:w="8752"/>
      </w:tblGrid>
      <w:tr w:rsidR="008C44F7" w:rsidTr="009A166B">
        <w:tc>
          <w:tcPr>
            <w:tcW w:w="819" w:type="dxa"/>
          </w:tcPr>
          <w:p w:rsidR="008C44F7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C44F7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752" w:type="dxa"/>
          </w:tcPr>
          <w:p w:rsidR="008C44F7" w:rsidRDefault="008C44F7" w:rsidP="008C44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</w:tr>
      <w:tr w:rsidR="008C44F7" w:rsidTr="009A166B">
        <w:tc>
          <w:tcPr>
            <w:tcW w:w="9571" w:type="dxa"/>
            <w:gridSpan w:val="2"/>
          </w:tcPr>
          <w:p w:rsidR="008C44F7" w:rsidRPr="00097A1D" w:rsidRDefault="008C44F7" w:rsidP="008C44F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97A1D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8C44F7" w:rsidTr="009A166B">
        <w:tc>
          <w:tcPr>
            <w:tcW w:w="819" w:type="dxa"/>
          </w:tcPr>
          <w:p w:rsidR="008C44F7" w:rsidRDefault="008C44F7" w:rsidP="008C44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52" w:type="dxa"/>
          </w:tcPr>
          <w:p w:rsidR="008C44F7" w:rsidRDefault="008C44F7" w:rsidP="008C44F7">
            <w:pPr>
              <w:pStyle w:val="ConsPlusNormal"/>
              <w:rPr>
                <w:rFonts w:ascii="Times New Roman" w:hAnsi="Times New Roman" w:cs="Times New Roman"/>
              </w:rPr>
            </w:pPr>
            <w:r w:rsidRPr="00097A1D">
              <w:rPr>
                <w:rFonts w:ascii="Times New Roman" w:hAnsi="Times New Roman" w:cs="Times New Roman"/>
              </w:rPr>
              <w:t xml:space="preserve">Модернизация системы обеззараживания Аквахлор-500 НС-2 п. Черемушки, 3 шт., НС-2 </w:t>
            </w:r>
            <w:proofErr w:type="spellStart"/>
            <w:r w:rsidRPr="00097A1D">
              <w:rPr>
                <w:rFonts w:ascii="Times New Roman" w:hAnsi="Times New Roman" w:cs="Times New Roman"/>
              </w:rPr>
              <w:t>р.п</w:t>
            </w:r>
            <w:proofErr w:type="spellEnd"/>
            <w:r w:rsidRPr="00097A1D">
              <w:rPr>
                <w:rFonts w:ascii="Times New Roman" w:hAnsi="Times New Roman" w:cs="Times New Roman"/>
              </w:rPr>
              <w:t>. Майна - 2 шт.</w:t>
            </w:r>
          </w:p>
        </w:tc>
      </w:tr>
      <w:tr w:rsidR="008C44F7" w:rsidTr="009A166B">
        <w:tc>
          <w:tcPr>
            <w:tcW w:w="9571" w:type="dxa"/>
            <w:gridSpan w:val="2"/>
          </w:tcPr>
          <w:p w:rsidR="008C44F7" w:rsidRPr="00097A1D" w:rsidRDefault="008C44F7" w:rsidP="008C44F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97A1D">
              <w:rPr>
                <w:rFonts w:ascii="Times New Roman" w:hAnsi="Times New Roman" w:cs="Times New Roman"/>
                <w:b/>
              </w:rPr>
              <w:t>Водоотведение</w:t>
            </w:r>
          </w:p>
        </w:tc>
      </w:tr>
      <w:tr w:rsidR="008C44F7" w:rsidTr="009A166B">
        <w:tc>
          <w:tcPr>
            <w:tcW w:w="819" w:type="dxa"/>
          </w:tcPr>
          <w:p w:rsidR="008C44F7" w:rsidRDefault="009A166B" w:rsidP="008C44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52" w:type="dxa"/>
          </w:tcPr>
          <w:p w:rsidR="008C44F7" w:rsidRDefault="008C44F7" w:rsidP="008C44F7">
            <w:pPr>
              <w:pStyle w:val="ConsPlusNormal"/>
              <w:rPr>
                <w:rFonts w:ascii="Times New Roman" w:hAnsi="Times New Roman" w:cs="Times New Roman"/>
              </w:rPr>
            </w:pPr>
            <w:r w:rsidRPr="00097A1D">
              <w:rPr>
                <w:rFonts w:ascii="Times New Roman" w:hAnsi="Times New Roman" w:cs="Times New Roman"/>
              </w:rPr>
              <w:t xml:space="preserve">Модернизация установок </w:t>
            </w:r>
            <w:proofErr w:type="spellStart"/>
            <w:r w:rsidRPr="00097A1D">
              <w:rPr>
                <w:rFonts w:ascii="Times New Roman" w:hAnsi="Times New Roman" w:cs="Times New Roman"/>
              </w:rPr>
              <w:t>Аквахлор</w:t>
            </w:r>
            <w:proofErr w:type="spellEnd"/>
            <w:r w:rsidRPr="00097A1D">
              <w:rPr>
                <w:rFonts w:ascii="Times New Roman" w:hAnsi="Times New Roman" w:cs="Times New Roman"/>
              </w:rPr>
              <w:t xml:space="preserve"> -500 </w:t>
            </w:r>
            <w:proofErr w:type="gramStart"/>
            <w:r w:rsidRPr="00097A1D">
              <w:rPr>
                <w:rFonts w:ascii="Times New Roman" w:hAnsi="Times New Roman" w:cs="Times New Roman"/>
              </w:rPr>
              <w:t>на</w:t>
            </w:r>
            <w:proofErr w:type="gramEnd"/>
            <w:r w:rsidRPr="00097A1D">
              <w:rPr>
                <w:rFonts w:ascii="Times New Roman" w:hAnsi="Times New Roman" w:cs="Times New Roman"/>
              </w:rPr>
              <w:t xml:space="preserve"> КОС </w:t>
            </w:r>
            <w:proofErr w:type="spellStart"/>
            <w:r w:rsidRPr="00097A1D">
              <w:rPr>
                <w:rFonts w:ascii="Times New Roman" w:hAnsi="Times New Roman" w:cs="Times New Roman"/>
              </w:rPr>
              <w:t>р.п</w:t>
            </w:r>
            <w:proofErr w:type="spellEnd"/>
            <w:r w:rsidRPr="00097A1D">
              <w:rPr>
                <w:rFonts w:ascii="Times New Roman" w:hAnsi="Times New Roman" w:cs="Times New Roman"/>
              </w:rPr>
              <w:t>.</w:t>
            </w:r>
            <w:r w:rsidR="009A166B">
              <w:rPr>
                <w:rFonts w:ascii="Times New Roman" w:hAnsi="Times New Roman" w:cs="Times New Roman"/>
              </w:rPr>
              <w:t xml:space="preserve"> </w:t>
            </w:r>
            <w:r w:rsidRPr="00097A1D">
              <w:rPr>
                <w:rFonts w:ascii="Times New Roman" w:hAnsi="Times New Roman" w:cs="Times New Roman"/>
              </w:rPr>
              <w:t>Майна</w:t>
            </w:r>
            <w:r w:rsidR="009A166B">
              <w:rPr>
                <w:rFonts w:ascii="Times New Roman" w:hAnsi="Times New Roman" w:cs="Times New Roman"/>
              </w:rPr>
              <w:t>,</w:t>
            </w:r>
            <w:r w:rsidRPr="00097A1D">
              <w:rPr>
                <w:rFonts w:ascii="Times New Roman" w:hAnsi="Times New Roman" w:cs="Times New Roman"/>
              </w:rPr>
              <w:t xml:space="preserve"> 2шт., инв</w:t>
            </w:r>
            <w:r w:rsidR="004D097C">
              <w:rPr>
                <w:rFonts w:ascii="Times New Roman" w:hAnsi="Times New Roman" w:cs="Times New Roman"/>
              </w:rPr>
              <w:t>.</w:t>
            </w:r>
            <w:r w:rsidRPr="00097A1D">
              <w:rPr>
                <w:rFonts w:ascii="Times New Roman" w:hAnsi="Times New Roman" w:cs="Times New Roman"/>
              </w:rPr>
              <w:t xml:space="preserve"> № ОС21737, №3, </w:t>
            </w:r>
            <w:proofErr w:type="gramStart"/>
            <w:r w:rsidRPr="00097A1D">
              <w:rPr>
                <w:rFonts w:ascii="Times New Roman" w:hAnsi="Times New Roman" w:cs="Times New Roman"/>
              </w:rPr>
              <w:t>на</w:t>
            </w:r>
            <w:proofErr w:type="gramEnd"/>
            <w:r w:rsidRPr="00097A1D">
              <w:rPr>
                <w:rFonts w:ascii="Times New Roman" w:hAnsi="Times New Roman" w:cs="Times New Roman"/>
              </w:rPr>
              <w:t xml:space="preserve"> КОС </w:t>
            </w:r>
            <w:proofErr w:type="spellStart"/>
            <w:r w:rsidRPr="00097A1D">
              <w:rPr>
                <w:rFonts w:ascii="Times New Roman" w:hAnsi="Times New Roman" w:cs="Times New Roman"/>
              </w:rPr>
              <w:t>р.п</w:t>
            </w:r>
            <w:proofErr w:type="spellEnd"/>
            <w:r w:rsidRPr="00097A1D">
              <w:rPr>
                <w:rFonts w:ascii="Times New Roman" w:hAnsi="Times New Roman" w:cs="Times New Roman"/>
              </w:rPr>
              <w:t xml:space="preserve">. Черемушки 4шт., </w:t>
            </w:r>
            <w:proofErr w:type="spellStart"/>
            <w:proofErr w:type="gramStart"/>
            <w:r w:rsidRPr="00097A1D">
              <w:rPr>
                <w:rFonts w:ascii="Times New Roman" w:hAnsi="Times New Roman" w:cs="Times New Roman"/>
              </w:rPr>
              <w:t>инв</w:t>
            </w:r>
            <w:proofErr w:type="spellEnd"/>
            <w:proofErr w:type="gramEnd"/>
            <w:r w:rsidRPr="00097A1D">
              <w:rPr>
                <w:rFonts w:ascii="Times New Roman" w:hAnsi="Times New Roman" w:cs="Times New Roman"/>
              </w:rPr>
              <w:t xml:space="preserve"> № 100065.</w:t>
            </w:r>
          </w:p>
        </w:tc>
      </w:tr>
    </w:tbl>
    <w:p w:rsidR="008C44F7" w:rsidRPr="00C81C5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8C44F7" w:rsidRPr="00C81C57" w:rsidRDefault="008C44F7" w:rsidP="008C44F7">
      <w:pPr>
        <w:rPr>
          <w:rFonts w:ascii="Times New Roman" w:hAnsi="Times New Roman" w:cs="Times New Roman"/>
        </w:rPr>
      </w:pPr>
    </w:p>
    <w:p w:rsidR="00AD706D" w:rsidRDefault="00AD706D" w:rsidP="008C44F7">
      <w:pPr>
        <w:jc w:val="center"/>
      </w:pPr>
    </w:p>
    <w:sectPr w:rsidR="00AD706D" w:rsidSect="00A35BA1">
      <w:headerReference w:type="default" r:id="rId9"/>
      <w:footerReference w:type="default" r:id="rId10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FE8" w:rsidRDefault="00FF0FE8" w:rsidP="00FC4FC3">
      <w:pPr>
        <w:spacing w:after="0" w:line="240" w:lineRule="auto"/>
      </w:pPr>
      <w:r>
        <w:separator/>
      </w:r>
    </w:p>
  </w:endnote>
  <w:endnote w:type="continuationSeparator" w:id="0">
    <w:p w:rsidR="00FF0FE8" w:rsidRDefault="00FF0FE8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Pr="00A35BA1" w:rsidRDefault="008C44F7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702F62">
      <w:rPr>
        <w:rFonts w:ascii="Times New Roman" w:hAnsi="Times New Roman" w:cs="Times New Roman"/>
        <w:noProof/>
        <w:sz w:val="24"/>
        <w:szCs w:val="24"/>
      </w:rPr>
      <w:t>12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FE8" w:rsidRDefault="00FF0FE8" w:rsidP="00FC4FC3">
      <w:pPr>
        <w:spacing w:after="0" w:line="240" w:lineRule="auto"/>
      </w:pPr>
      <w:r>
        <w:separator/>
      </w:r>
    </w:p>
  </w:footnote>
  <w:footnote w:type="continuationSeparator" w:id="0">
    <w:p w:rsidR="00FF0FE8" w:rsidRDefault="00FF0FE8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0B"/>
    <w:rsid w:val="000448E0"/>
    <w:rsid w:val="00045FF2"/>
    <w:rsid w:val="00051CC7"/>
    <w:rsid w:val="00052F0A"/>
    <w:rsid w:val="00070EEC"/>
    <w:rsid w:val="00075A6A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250DF"/>
    <w:rsid w:val="0023409A"/>
    <w:rsid w:val="0028732D"/>
    <w:rsid w:val="00287489"/>
    <w:rsid w:val="00291618"/>
    <w:rsid w:val="002A1B13"/>
    <w:rsid w:val="002B448A"/>
    <w:rsid w:val="002D520D"/>
    <w:rsid w:val="002E3696"/>
    <w:rsid w:val="0032101A"/>
    <w:rsid w:val="003227D1"/>
    <w:rsid w:val="00336106"/>
    <w:rsid w:val="003E474A"/>
    <w:rsid w:val="00401A90"/>
    <w:rsid w:val="00431C2A"/>
    <w:rsid w:val="00432448"/>
    <w:rsid w:val="00442321"/>
    <w:rsid w:val="004763FC"/>
    <w:rsid w:val="004A089A"/>
    <w:rsid w:val="004D097C"/>
    <w:rsid w:val="004D36CF"/>
    <w:rsid w:val="004D507C"/>
    <w:rsid w:val="004F70F1"/>
    <w:rsid w:val="00500286"/>
    <w:rsid w:val="0050573F"/>
    <w:rsid w:val="005627CA"/>
    <w:rsid w:val="00573803"/>
    <w:rsid w:val="005B19C9"/>
    <w:rsid w:val="005C02CC"/>
    <w:rsid w:val="005D372D"/>
    <w:rsid w:val="005D45CF"/>
    <w:rsid w:val="005F215B"/>
    <w:rsid w:val="00607398"/>
    <w:rsid w:val="00632FCF"/>
    <w:rsid w:val="00641268"/>
    <w:rsid w:val="006734EF"/>
    <w:rsid w:val="006A2AA4"/>
    <w:rsid w:val="006D4619"/>
    <w:rsid w:val="00702F62"/>
    <w:rsid w:val="007049CC"/>
    <w:rsid w:val="00706BE0"/>
    <w:rsid w:val="00714592"/>
    <w:rsid w:val="00721EC1"/>
    <w:rsid w:val="0072678F"/>
    <w:rsid w:val="0075767A"/>
    <w:rsid w:val="007747E3"/>
    <w:rsid w:val="00795D50"/>
    <w:rsid w:val="007A769F"/>
    <w:rsid w:val="007B2A0E"/>
    <w:rsid w:val="007B4383"/>
    <w:rsid w:val="007B5014"/>
    <w:rsid w:val="007B6926"/>
    <w:rsid w:val="00833BC8"/>
    <w:rsid w:val="00837A9D"/>
    <w:rsid w:val="0084495F"/>
    <w:rsid w:val="008526B3"/>
    <w:rsid w:val="00862F38"/>
    <w:rsid w:val="00865112"/>
    <w:rsid w:val="008C2EE3"/>
    <w:rsid w:val="008C44F7"/>
    <w:rsid w:val="008F64C8"/>
    <w:rsid w:val="009247E2"/>
    <w:rsid w:val="00957CC7"/>
    <w:rsid w:val="00963912"/>
    <w:rsid w:val="00967AE1"/>
    <w:rsid w:val="0097269A"/>
    <w:rsid w:val="009A166B"/>
    <w:rsid w:val="009B24C0"/>
    <w:rsid w:val="009B70BD"/>
    <w:rsid w:val="009D4BFC"/>
    <w:rsid w:val="009E5B42"/>
    <w:rsid w:val="009E795A"/>
    <w:rsid w:val="00A26C7F"/>
    <w:rsid w:val="00A35BA1"/>
    <w:rsid w:val="00A51E71"/>
    <w:rsid w:val="00A775B2"/>
    <w:rsid w:val="00AB419C"/>
    <w:rsid w:val="00AC67A6"/>
    <w:rsid w:val="00AD706D"/>
    <w:rsid w:val="00AE110A"/>
    <w:rsid w:val="00AE6189"/>
    <w:rsid w:val="00AE7FF1"/>
    <w:rsid w:val="00B807DB"/>
    <w:rsid w:val="00B81D15"/>
    <w:rsid w:val="00B90098"/>
    <w:rsid w:val="00C02529"/>
    <w:rsid w:val="00C502C5"/>
    <w:rsid w:val="00C537F0"/>
    <w:rsid w:val="00C60CC2"/>
    <w:rsid w:val="00CA23C4"/>
    <w:rsid w:val="00CD13A5"/>
    <w:rsid w:val="00D27AB0"/>
    <w:rsid w:val="00D41B82"/>
    <w:rsid w:val="00D44E7F"/>
    <w:rsid w:val="00D57465"/>
    <w:rsid w:val="00D63B43"/>
    <w:rsid w:val="00D811B0"/>
    <w:rsid w:val="00D92561"/>
    <w:rsid w:val="00DB1367"/>
    <w:rsid w:val="00DB3710"/>
    <w:rsid w:val="00DB55E8"/>
    <w:rsid w:val="00DE3A25"/>
    <w:rsid w:val="00DE4238"/>
    <w:rsid w:val="00DE7EE9"/>
    <w:rsid w:val="00E20BCA"/>
    <w:rsid w:val="00E72905"/>
    <w:rsid w:val="00E74285"/>
    <w:rsid w:val="00E91BB5"/>
    <w:rsid w:val="00EB47FE"/>
    <w:rsid w:val="00EE717B"/>
    <w:rsid w:val="00F1239E"/>
    <w:rsid w:val="00F5584B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73B89-FBCB-4078-8363-FCF470E2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3983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Chursin_MA</dc:creator>
  <cp:lastModifiedBy>Зайцев Кирилл Александрович</cp:lastModifiedBy>
  <cp:revision>5</cp:revision>
  <cp:lastPrinted>2020-02-22T05:14:00Z</cp:lastPrinted>
  <dcterms:created xsi:type="dcterms:W3CDTF">2020-02-22T05:10:00Z</dcterms:created>
  <dcterms:modified xsi:type="dcterms:W3CDTF">2020-03-03T01:09:00Z</dcterms:modified>
</cp:coreProperties>
</file>