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CDD46" w14:textId="40A28BC6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1</w:t>
      </w:r>
    </w:p>
    <w:p w14:paraId="5E81C3C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3340CB84" w14:textId="77777777" w:rsidR="00217BD2" w:rsidRDefault="00217BD2" w:rsidP="00217BD2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57CC441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525D2EF3" w14:textId="06EE0B15" w:rsidR="00217BD2" w:rsidRPr="002250DF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 w:rsidR="00FD3427" w:rsidRPr="00FD3427">
        <w:rPr>
          <w:rFonts w:ascii="Times New Roman" w:hAnsi="Times New Roman" w:cs="Times New Roman"/>
          <w:sz w:val="20"/>
          <w:szCs w:val="24"/>
        </w:rPr>
        <w:t>01.03.</w:t>
      </w:r>
      <w:r w:rsidR="00FD3427">
        <w:rPr>
          <w:rFonts w:ascii="Times New Roman" w:hAnsi="Times New Roman" w:cs="Times New Roman"/>
          <w:sz w:val="20"/>
          <w:szCs w:val="24"/>
          <w:lang w:val="en-US"/>
        </w:rPr>
        <w:t>2022</w:t>
      </w:r>
      <w:r w:rsidR="00FD3427">
        <w:rPr>
          <w:rFonts w:ascii="Times New Roman" w:hAnsi="Times New Roman" w:cs="Times New Roman"/>
          <w:sz w:val="20"/>
          <w:szCs w:val="24"/>
        </w:rPr>
        <w:t>г.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</w:t>
      </w:r>
      <w:r w:rsidR="00FD3427" w:rsidRPr="00FD3427">
        <w:rPr>
          <w:rFonts w:ascii="Times New Roman" w:hAnsi="Times New Roman" w:cs="Times New Roman"/>
          <w:sz w:val="20"/>
          <w:szCs w:val="24"/>
        </w:rPr>
        <w:t>108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2223A3E1" w14:textId="77777777" w:rsidR="00C54DDD" w:rsidRDefault="00C54DDD" w:rsidP="00C54DDD">
      <w:pPr>
        <w:spacing w:after="0"/>
        <w:rPr>
          <w:sz w:val="24"/>
          <w:szCs w:val="24"/>
        </w:rPr>
      </w:pPr>
    </w:p>
    <w:p w14:paraId="4C52BE63" w14:textId="77777777" w:rsidR="00A804B4" w:rsidRDefault="00A804B4" w:rsidP="00C54DDD">
      <w:pPr>
        <w:spacing w:after="0"/>
        <w:rPr>
          <w:sz w:val="24"/>
          <w:szCs w:val="24"/>
        </w:rPr>
      </w:pPr>
    </w:p>
    <w:p w14:paraId="1D5EB907" w14:textId="77777777" w:rsidR="00C54DDD" w:rsidRPr="00070EEC" w:rsidRDefault="00C54DDD" w:rsidP="00C54DDD">
      <w:pPr>
        <w:spacing w:after="0"/>
        <w:rPr>
          <w:sz w:val="24"/>
          <w:szCs w:val="24"/>
        </w:rPr>
      </w:pPr>
    </w:p>
    <w:p w14:paraId="55ED0BF2" w14:textId="77777777"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01F02AEB" w14:textId="6E0CD628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B77D29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«Саяногорские коммунальные системы»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14:paraId="4390CABF" w14:textId="5762F536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</w:t>
      </w:r>
      <w:r w:rsidR="0083581B">
        <w:rPr>
          <w:rFonts w:ascii="Times New Roman" w:hAnsi="Times New Roman" w:cs="Times New Roman"/>
          <w:sz w:val="24"/>
          <w:szCs w:val="24"/>
        </w:rPr>
        <w:t>3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24BEE0C6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C1C82C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291B53" w14:textId="77777777"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060A02BE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01.04.2020</w:t>
      </w:r>
      <w:r w:rsidRPr="002801F2">
        <w:rPr>
          <w:rFonts w:ascii="Times New Roman" w:hAnsi="Times New Roman" w:cs="Times New Roman"/>
        </w:rPr>
        <w:t>) «О водоснабжении и водоотведении» (далее – Федеральный закон 416-ФЗ).</w:t>
      </w:r>
    </w:p>
    <w:p w14:paraId="4917E05B" w14:textId="15E4039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</w:t>
      </w:r>
      <w:r w:rsidR="00EF0CEF">
        <w:rPr>
          <w:rFonts w:ascii="Times New Roman" w:hAnsi="Times New Roman" w:cs="Times New Roman"/>
        </w:rPr>
        <w:t>21.12.2021</w:t>
      </w:r>
      <w:r w:rsidRPr="002801F2">
        <w:rPr>
          <w:rFonts w:ascii="Times New Roman" w:hAnsi="Times New Roman" w:cs="Times New Roman"/>
        </w:rPr>
        <w:t xml:space="preserve">) «Об энергосбережении и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14:paraId="3406D8C7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05B71C58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5CC70B79" w14:textId="1AD254D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641 (ред. от </w:t>
      </w:r>
      <w:r w:rsidR="00EF0CEF">
        <w:rPr>
          <w:rFonts w:ascii="Times New Roman" w:hAnsi="Times New Roman" w:cs="Times New Roman"/>
        </w:rPr>
        <w:t>30.11.2021</w:t>
      </w:r>
      <w:r w:rsidRPr="002801F2">
        <w:rPr>
          <w:rFonts w:ascii="Times New Roman" w:hAnsi="Times New Roman" w:cs="Times New Roman"/>
        </w:rPr>
        <w:t>) 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 № 641).</w:t>
      </w:r>
    </w:p>
    <w:p w14:paraId="5B1000F0" w14:textId="224DF8A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 № 644 (ред. от </w:t>
      </w:r>
      <w:r w:rsidR="00EF0CEF">
        <w:rPr>
          <w:rFonts w:ascii="Times New Roman" w:hAnsi="Times New Roman" w:cs="Times New Roman"/>
        </w:rPr>
        <w:t>30.11.2021</w:t>
      </w:r>
      <w:r w:rsidRPr="002801F2">
        <w:rPr>
          <w:rFonts w:ascii="Times New Roman" w:hAnsi="Times New Roman" w:cs="Times New Roman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1000EB2E" w14:textId="2C13D062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№ 406 (ред. от </w:t>
      </w:r>
      <w:r w:rsidR="00EF0CEF">
        <w:rPr>
          <w:rFonts w:ascii="Times New Roman" w:hAnsi="Times New Roman" w:cs="Times New Roman"/>
        </w:rPr>
        <w:t>25.01.2022</w:t>
      </w:r>
      <w:r w:rsidRPr="002801F2">
        <w:rPr>
          <w:rFonts w:ascii="Times New Roman" w:hAnsi="Times New Roman" w:cs="Times New Roman"/>
        </w:rPr>
        <w:t>) «О государственном регулировании тарифов в сфере водоснабжения и водоотведения».</w:t>
      </w:r>
    </w:p>
    <w:p w14:paraId="0E4AFE1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13.02.2006  № 83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6E02323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Приказ Минстроя России от 04.04.2014 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654D1F80" w14:textId="77777777"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№ </w:t>
      </w:r>
      <w:r w:rsidR="007A5701" w:rsidRPr="002801F2">
        <w:rPr>
          <w:rFonts w:ascii="Times New Roman" w:hAnsi="Times New Roman" w:cs="Times New Roman"/>
        </w:rPr>
        <w:t>808</w:t>
      </w:r>
      <w:r w:rsidRPr="002801F2">
        <w:rPr>
          <w:rFonts w:ascii="Times New Roman" w:hAnsi="Times New Roman" w:cs="Times New Roman"/>
        </w:rPr>
        <w:t xml:space="preserve"> от </w:t>
      </w:r>
      <w:r w:rsidR="007A5701" w:rsidRPr="002801F2">
        <w:rPr>
          <w:rFonts w:ascii="Times New Roman" w:hAnsi="Times New Roman" w:cs="Times New Roman"/>
        </w:rPr>
        <w:t>30.11</w:t>
      </w:r>
      <w:r w:rsidRPr="002801F2">
        <w:rPr>
          <w:rFonts w:ascii="Times New Roman" w:hAnsi="Times New Roman" w:cs="Times New Roman"/>
        </w:rPr>
        <w:t>.20</w:t>
      </w:r>
      <w:r w:rsidR="007A5701" w:rsidRPr="002801F2">
        <w:rPr>
          <w:rFonts w:ascii="Times New Roman" w:hAnsi="Times New Roman" w:cs="Times New Roman"/>
        </w:rPr>
        <w:t>20</w:t>
      </w:r>
      <w:r w:rsidRPr="002801F2">
        <w:rPr>
          <w:rFonts w:ascii="Times New Roman" w:hAnsi="Times New Roman" w:cs="Times New Roman"/>
        </w:rPr>
        <w:t xml:space="preserve"> </w:t>
      </w:r>
      <w:r w:rsidR="00A13B99">
        <w:rPr>
          <w:rFonts w:ascii="Times New Roman" w:hAnsi="Times New Roman" w:cs="Times New Roman"/>
        </w:rPr>
        <w:t>«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</w:t>
      </w:r>
      <w:r w:rsidR="00A13B99">
        <w:rPr>
          <w:rFonts w:ascii="Times New Roman" w:hAnsi="Times New Roman" w:cs="Times New Roman"/>
        </w:rPr>
        <w:t>»</w:t>
      </w:r>
      <w:r w:rsidR="007A5701" w:rsidRPr="002801F2">
        <w:rPr>
          <w:rFonts w:ascii="Times New Roman" w:hAnsi="Times New Roman" w:cs="Times New Roman"/>
        </w:rPr>
        <w:t>.</w:t>
      </w:r>
    </w:p>
    <w:p w14:paraId="54CCB2B4" w14:textId="77777777"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Заказчик</w:t>
      </w:r>
    </w:p>
    <w:p w14:paraId="4BF081BA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14:paraId="64AD8A58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70A140A3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753991EA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9FC302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808E716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14:paraId="68961C25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r w:rsidR="00021102" w:rsidRPr="0097269A">
        <w:rPr>
          <w:rFonts w:ascii="Times New Roman" w:hAnsi="Times New Roman" w:cs="Times New Roman"/>
        </w:rPr>
        <w:t>деятельност</w:t>
      </w:r>
      <w:proofErr w:type="gramStart"/>
      <w:r w:rsidR="00021102" w:rsidRPr="0097269A">
        <w:rPr>
          <w:rFonts w:ascii="Times New Roman" w:hAnsi="Times New Roman" w:cs="Times New Roman"/>
        </w:rPr>
        <w:t xml:space="preserve">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proofErr w:type="gramEnd"/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29985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887A9B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6BD44660" w14:textId="77777777"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</w:p>
    <w:p w14:paraId="499CC850" w14:textId="74652ECF"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 w:rsidR="00EF0C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 по 31.12.202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г.</w:t>
      </w:r>
    </w:p>
    <w:p w14:paraId="1EBD789C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14:paraId="65C8C074" w14:textId="6A423B8B" w:rsidR="00C54DDD" w:rsidRPr="00B90098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B90098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14:paraId="618BFC6D" w14:textId="524E34A9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EB47FE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525FDD14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14:paraId="42B12F4B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14:paraId="227020B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42A40FD4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2B0021D1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14:paraId="3F1E14A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</w:t>
      </w:r>
      <w:r w:rsidRPr="00EB47FE">
        <w:rPr>
          <w:rFonts w:ascii="Times New Roman" w:hAnsi="Times New Roman" w:cs="Times New Roman"/>
        </w:rPr>
        <w:lastRenderedPageBreak/>
        <w:t>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000C5B8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14:paraId="7520681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77453116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14:paraId="3479099C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22727FD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14:paraId="1D9E15B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14:paraId="54B5094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водоотведения, не включённых в прочие группы мероприятий;</w:t>
      </w:r>
    </w:p>
    <w:p w14:paraId="403251F8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14:paraId="657F7B1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14:paraId="66A340E8" w14:textId="77777777" w:rsidR="00C54DDD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14:paraId="1FFDECA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B6CC3D8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14:paraId="46A21501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14:paraId="530C919E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14:paraId="243B3477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14:paraId="0E587973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14:paraId="7337D770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4050D966" w14:textId="77777777"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14:paraId="78B105AD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3A33C611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6F425CB4" w14:textId="77777777"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5FEB601F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63D3737B" w14:textId="77777777" w:rsidR="00C54DDD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420216F1" w14:textId="1D470685" w:rsidR="00E761DF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-изменение условий концессионных соглашений (актуализация перечня обязательных мероприятий);</w:t>
      </w:r>
    </w:p>
    <w:p w14:paraId="6536EC8C" w14:textId="77777777" w:rsidR="00C54DDD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4DDD" w:rsidRPr="00B90098">
        <w:rPr>
          <w:rFonts w:ascii="Times New Roman" w:hAnsi="Times New Roman" w:cs="Times New Roman"/>
        </w:rPr>
        <w:t>потребности изменения показателей надёжности, качества и энергоэффективности объектов централизованных систем водоснабжения и водоотведения ООО «СКС».</w:t>
      </w:r>
    </w:p>
    <w:p w14:paraId="071D9E44" w14:textId="77777777" w:rsidR="00C54DDD" w:rsidRDefault="00DA1AB4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14:paraId="164D3D4B" w14:textId="77777777"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14:paraId="2C352EA1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14:paraId="0F4A9BCD" w14:textId="77777777"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C47BBA0" w14:textId="77777777" w:rsidR="00204FAB" w:rsidRDefault="00204FAB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F5ACC9" w14:textId="77777777"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39F275AF" w14:textId="77777777"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07"/>
        <w:gridCol w:w="709"/>
        <w:gridCol w:w="55"/>
        <w:gridCol w:w="1046"/>
        <w:gridCol w:w="33"/>
        <w:gridCol w:w="1417"/>
        <w:gridCol w:w="1701"/>
      </w:tblGrid>
      <w:tr w:rsidR="00C54DDD" w:rsidRPr="00C53738" w14:paraId="5092F58D" w14:textId="77777777" w:rsidTr="00396032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25998C2C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14:paraId="0EA34669" w14:textId="77777777"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14:paraId="28D0D621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6EB37B5D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14:paraId="769094A5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151" w:type="dxa"/>
            <w:gridSpan w:val="3"/>
            <w:shd w:val="clear" w:color="auto" w:fill="auto"/>
          </w:tcPr>
          <w:p w14:paraId="23A37382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396032" w:rsidRPr="00C53738" w14:paraId="20A15F09" w14:textId="77777777" w:rsidTr="00396032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14:paraId="30E30C53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14:paraId="115C876C" w14:textId="77777777" w:rsidR="00396032" w:rsidRPr="00C53738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14:paraId="25C407B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6C68A3E9" w14:textId="38C93A9E" w:rsidR="00396032" w:rsidRPr="009C4866" w:rsidRDefault="00396032" w:rsidP="00D2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2022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450" w:type="dxa"/>
            <w:gridSpan w:val="2"/>
            <w:shd w:val="clear" w:color="auto" w:fill="auto"/>
            <w:hideMark/>
          </w:tcPr>
          <w:p w14:paraId="1229C685" w14:textId="77777777" w:rsidR="00396032" w:rsidRPr="009C4866" w:rsidRDefault="00396032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3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701" w:type="dxa"/>
            <w:shd w:val="clear" w:color="auto" w:fill="auto"/>
            <w:hideMark/>
          </w:tcPr>
          <w:p w14:paraId="67B18753" w14:textId="77777777" w:rsidR="00396032" w:rsidRPr="009C4866" w:rsidRDefault="00396032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4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C54DDD" w:rsidRPr="00C53738" w14:paraId="33064FBC" w14:textId="77777777" w:rsidTr="00396032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69C7949D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8" w:type="dxa"/>
            <w:gridSpan w:val="7"/>
            <w:shd w:val="clear" w:color="auto" w:fill="EEECE1" w:themeFill="background2"/>
            <w:noWrap/>
            <w:vAlign w:val="center"/>
            <w:hideMark/>
          </w:tcPr>
          <w:p w14:paraId="289D3BA7" w14:textId="77777777" w:rsidR="00C54DDD" w:rsidRPr="00C53738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C54DDD" w:rsidRPr="00C53738" w14:paraId="6D7549BF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42D9F83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354D319E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396032" w:rsidRPr="00C53738" w14:paraId="13790B67" w14:textId="77777777" w:rsidTr="00396032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79B0BF0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14:paraId="2225D13A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1FD86C2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4CB9AB9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</w:tcPr>
          <w:p w14:paraId="05CCA594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4E536B51" w14:textId="63EC92E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48DDFC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396032" w:rsidRPr="00C53738" w14:paraId="0F1D8CF7" w14:textId="77777777" w:rsidTr="00396032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5B735D4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14:paraId="0098BD77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EA9419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E462303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</w:tcPr>
          <w:p w14:paraId="38C4FDE5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F6CB335" w14:textId="784CFB73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823C3DA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14:paraId="42BAA455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B5A27D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02278F8C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396032" w:rsidRPr="00C53738" w14:paraId="4D7582FD" w14:textId="77777777" w:rsidTr="00396032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D3F2CB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14:paraId="4BA45A07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B1E92A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EE431A" w14:textId="01E3832C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5AF6B5D8" w14:textId="709C1D66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AB0898" w14:textId="03CF559D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22</w:t>
            </w:r>
          </w:p>
        </w:tc>
      </w:tr>
      <w:tr w:rsidR="00396032" w:rsidRPr="00C53738" w14:paraId="126CE950" w14:textId="77777777" w:rsidTr="00396032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02F0099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14:paraId="1636BB83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4CC44078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FEA180F" w14:textId="6AA20CFE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72E3CE32" w14:textId="4D6965FF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6A55DE" w14:textId="484061DB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C54DDD" w:rsidRPr="00C53738" w14:paraId="79B22518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73F565C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53E0FF62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396032" w:rsidRPr="00C53738" w14:paraId="1B51174E" w14:textId="77777777" w:rsidTr="00396032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246096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14:paraId="13E35551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14:paraId="134CADF0" w14:textId="77777777" w:rsidR="00396032" w:rsidRPr="00C53738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FB99BC9" w14:textId="2DAEB850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5718A025" w14:textId="5D485E91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C47F36" w14:textId="01F8E0BA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</w:tr>
      <w:tr w:rsidR="00396032" w:rsidRPr="00C53738" w14:paraId="6AC27652" w14:textId="77777777" w:rsidTr="00396032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0F7D944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14:paraId="0F56B596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0C80F198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9C10D3D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593A9D8A" w14:textId="3119108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BAA115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C54DDD" w:rsidRPr="00C53738" w14:paraId="05ADB952" w14:textId="77777777" w:rsidTr="00396032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414223DF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068" w:type="dxa"/>
            <w:gridSpan w:val="7"/>
            <w:shd w:val="clear" w:color="auto" w:fill="EEECE1" w:themeFill="background2"/>
            <w:vAlign w:val="center"/>
            <w:hideMark/>
          </w:tcPr>
          <w:p w14:paraId="2166F40F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C54DDD" w:rsidRPr="00C53738" w14:paraId="7BA5234C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4AB3868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9068" w:type="dxa"/>
            <w:gridSpan w:val="7"/>
            <w:shd w:val="clear" w:color="auto" w:fill="auto"/>
            <w:vAlign w:val="center"/>
            <w:hideMark/>
          </w:tcPr>
          <w:p w14:paraId="679FE1C5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396032" w:rsidRPr="00C53738" w14:paraId="308D778A" w14:textId="77777777" w:rsidTr="00396032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48078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shd w:val="clear" w:color="auto" w:fill="auto"/>
            <w:hideMark/>
          </w:tcPr>
          <w:p w14:paraId="2B56B09F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29C07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FE89155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F60A4BC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50C60B59" w14:textId="07BB816B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8AE44AD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396032" w:rsidRPr="00C53738" w14:paraId="4E7BB99A" w14:textId="77777777" w:rsidTr="00396032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E2FC90B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4107" w:type="dxa"/>
            <w:shd w:val="clear" w:color="auto" w:fill="auto"/>
            <w:hideMark/>
          </w:tcPr>
          <w:p w14:paraId="4A4071A7" w14:textId="77777777" w:rsidR="00396032" w:rsidRPr="00665D71" w:rsidRDefault="00396032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проб сточных   вод,   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4F88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7CEF2E3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B5B99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95B7CF3" w14:textId="38E36C12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5D52F13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14:paraId="5E63C789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8C30A5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9068" w:type="dxa"/>
            <w:gridSpan w:val="7"/>
            <w:shd w:val="clear" w:color="auto" w:fill="auto"/>
            <w:vAlign w:val="center"/>
            <w:hideMark/>
          </w:tcPr>
          <w:p w14:paraId="4C3312C4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396032" w:rsidRPr="009C4866" w14:paraId="50F29236" w14:textId="77777777" w:rsidTr="00396032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4EAC6E9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shd w:val="clear" w:color="auto" w:fill="auto"/>
            <w:hideMark/>
          </w:tcPr>
          <w:p w14:paraId="2DDDA0F4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46EFC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ед./км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FD271D1" w14:textId="21AE0193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9E0D96" w14:textId="0B1F7A84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2,90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C19B2" w14:textId="46A16A62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,90</w:t>
            </w:r>
          </w:p>
        </w:tc>
      </w:tr>
      <w:tr w:rsidR="00C54DDD" w:rsidRPr="00C53738" w14:paraId="12C333FB" w14:textId="77777777" w:rsidTr="00396032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4E00593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214297B8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396032" w:rsidRPr="00C53738" w14:paraId="14C32C66" w14:textId="77777777" w:rsidTr="00396032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5ADD842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shd w:val="clear" w:color="auto" w:fill="auto"/>
            <w:hideMark/>
          </w:tcPr>
          <w:p w14:paraId="594E3F08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D4F4B1" w14:textId="77777777" w:rsidR="00396032" w:rsidRPr="00C53738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9BBFB85" w14:textId="654EC999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BCCFB6" w14:textId="4A8D69CF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796922" w14:textId="744FF61C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</w:tr>
    </w:tbl>
    <w:p w14:paraId="1E8AFFE0" w14:textId="77777777" w:rsidR="00C54DDD" w:rsidRDefault="00C54DDD" w:rsidP="00C54DDD">
      <w:r>
        <w:br w:type="page"/>
      </w:r>
    </w:p>
    <w:p w14:paraId="5586FE67" w14:textId="77777777"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7E1EA3">
          <w:pgSz w:w="11906" w:h="16838"/>
          <w:pgMar w:top="1134" w:right="851" w:bottom="1134" w:left="1701" w:header="567" w:footer="170" w:gutter="0"/>
          <w:cols w:space="708"/>
          <w:docGrid w:linePitch="360"/>
        </w:sectPr>
      </w:pPr>
    </w:p>
    <w:p w14:paraId="36DAA0F1" w14:textId="77777777"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C5D0A20" w14:textId="523E34E4"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39603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02110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14:paraId="38278D31" w14:textId="77777777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14:paraId="185A5FE5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14:paraId="5E1D87D1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14:paraId="2DF03C8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14:paraId="744F24EA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14:paraId="1B481A5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14:paraId="3916EC8C" w14:textId="77777777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14:paraId="606067D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14:paraId="6D7D8C08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14:paraId="04720DB0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2683D94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14:paraId="2B3439F0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14:paraId="0D9F734C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14:paraId="4E3EFF0B" w14:textId="77777777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F7D8AB4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14:paraId="4C5CD6E0" w14:textId="77777777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14:paraId="61CB3929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14:paraId="07937635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14:paraId="20AC2851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64A21FAD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</w:tcPr>
          <w:p w14:paraId="1759A1D5" w14:textId="0E23D8D9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3581B" w:rsidRPr="009C4866" w14:paraId="30F8C3FE" w14:textId="77777777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14:paraId="427C2DE0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83581B" w:rsidRPr="009C4866" w14:paraId="70F9EF60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14:paraId="5283A40A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14:paraId="1F38F963" w14:textId="2B609CA0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расхода воды на 2-х подающих трубопроводах 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НС 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14:paraId="67C41810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3-го подъема (комплекс водозаборных сооружений водозабора № 1), по адресу: Республика Хакасия,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14:paraId="68DC1A7E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EF13734" w14:textId="60094AC8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14:paraId="5F86C02F" w14:textId="4F87A9A2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  <w:p w14:paraId="66DFA127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14:paraId="2C363826" w14:textId="21434389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</w:p>
          <w:p w14:paraId="454117FC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  <w:p w14:paraId="15BD8CD5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FB578D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362F43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041345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ABCEC86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9325CD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0,22</w:t>
            </w:r>
          </w:p>
          <w:p w14:paraId="3714E19F" w14:textId="650B9A7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624A81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  <w:p w14:paraId="24CA8A8D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EF709F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C5BBBD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6BEB7DA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B5CAB6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DE4CB81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0,22</w:t>
            </w:r>
          </w:p>
          <w:p w14:paraId="3720661B" w14:textId="0D5FDFB2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</w:tr>
      <w:tr w:rsidR="0083581B" w:rsidRPr="009C4866" w14:paraId="286CF6D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58C8BFA5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83581B" w:rsidRPr="009C4866" w14:paraId="7B1261C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7747083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83581B" w:rsidRPr="009C4866" w14:paraId="045DB113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0B3E9DD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6.1</w:t>
            </w:r>
          </w:p>
        </w:tc>
        <w:tc>
          <w:tcPr>
            <w:tcW w:w="3275" w:type="dxa"/>
            <w:shd w:val="clear" w:color="auto" w:fill="auto"/>
          </w:tcPr>
          <w:p w14:paraId="7C3AD729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14:paraId="785D42B7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физически изношенных установок  Аквахлор-500 - 2 шт.</w:t>
            </w:r>
          </w:p>
        </w:tc>
        <w:tc>
          <w:tcPr>
            <w:tcW w:w="4423" w:type="dxa"/>
            <w:shd w:val="clear" w:color="auto" w:fill="auto"/>
          </w:tcPr>
          <w:p w14:paraId="2CD56C61" w14:textId="0312F89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14:paraId="12AB8F7F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5AACAED6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14:paraId="2DBC2E5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49CCD1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5433D46" w14:textId="77777777" w:rsidR="0083581B" w:rsidRPr="008F16A2" w:rsidRDefault="0083581B" w:rsidP="0083581B">
            <w:pPr>
              <w:jc w:val="center"/>
            </w:pPr>
            <w:r w:rsidRPr="008F16A2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F928DFC" w14:textId="77777777" w:rsidR="0083581B" w:rsidRDefault="0083581B" w:rsidP="0083581B">
            <w:pPr>
              <w:jc w:val="center"/>
            </w:pPr>
            <w:r w:rsidRPr="008F16A2">
              <w:t>-</w:t>
            </w:r>
          </w:p>
        </w:tc>
      </w:tr>
      <w:tr w:rsidR="0083581B" w:rsidRPr="009C4866" w14:paraId="398BA22D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195EE60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14:paraId="68ABFA0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 Замена физически изношенных установок  Аквахлор-500 - 3 шт.</w:t>
            </w:r>
          </w:p>
        </w:tc>
        <w:tc>
          <w:tcPr>
            <w:tcW w:w="4423" w:type="dxa"/>
            <w:shd w:val="clear" w:color="auto" w:fill="auto"/>
          </w:tcPr>
          <w:p w14:paraId="28A4BE8F" w14:textId="58A6656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14:paraId="532F34C3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42D07986" w14:textId="05DAB326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3-х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D2D0A3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C9AD793" w14:textId="77777777" w:rsidR="0083581B" w:rsidRPr="009D075D" w:rsidRDefault="0083581B" w:rsidP="0083581B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B4D24DA" w14:textId="77777777" w:rsidR="0083581B" w:rsidRDefault="0083581B" w:rsidP="0083581B">
            <w:pPr>
              <w:jc w:val="center"/>
            </w:pPr>
            <w:r w:rsidRPr="009D075D">
              <w:t>-</w:t>
            </w:r>
          </w:p>
        </w:tc>
      </w:tr>
      <w:tr w:rsidR="0083581B" w:rsidRPr="009C4866" w14:paraId="7CB0D099" w14:textId="77777777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CD9702A" w14:textId="77777777" w:rsidR="0083581B" w:rsidRPr="00957CC7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83581B" w:rsidRPr="009C4866" w14:paraId="6C258136" w14:textId="77777777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14:paraId="263F7984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83581B" w:rsidRPr="009C4866" w14:paraId="68E9B0E6" w14:textId="77777777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14:paraId="75DAE0A9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392D80CF" w14:textId="77777777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14:paraId="68344AFB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83581B" w:rsidRPr="009C4866" w14:paraId="7AB08486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21B3682F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83581B" w:rsidRPr="009C4866" w14:paraId="008A1F9D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60D90462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83581B" w:rsidRPr="009C4866" w14:paraId="33227879" w14:textId="77777777" w:rsidTr="00C30318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396E3904" w14:textId="3244F383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3.2.1</w:t>
            </w:r>
          </w:p>
        </w:tc>
        <w:tc>
          <w:tcPr>
            <w:tcW w:w="3275" w:type="dxa"/>
            <w:shd w:val="clear" w:color="auto" w:fill="auto"/>
          </w:tcPr>
          <w:p w14:paraId="548E2BF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14:paraId="6D397094" w14:textId="5BC4AC15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механических грабель МГ-11Т, дробилки Д-З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решетку-дробилку,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4FA0D367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14:paraId="67DAF72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14:paraId="564859C0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Движимое имущество, технологически связанное с недвижимым имуществом: </w:t>
            </w:r>
          </w:p>
          <w:p w14:paraId="30A7F8A3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14:paraId="36FA4F8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69" w:type="dxa"/>
            <w:vAlign w:val="center"/>
          </w:tcPr>
          <w:p w14:paraId="4310B0DE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Удельное количество аварий и засоров в расчёте на протяжённость сетей   общесплавной и раздельной хозяйственно-бытовой системы водоотведения в год</w:t>
            </w:r>
          </w:p>
          <w:p w14:paraId="725E0FC2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8F80E3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3BCA6887" w14:textId="77777777" w:rsidR="0083581B" w:rsidRPr="00E7428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</w:tcPr>
          <w:p w14:paraId="616380A1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1BAC65BF" w14:textId="414A7B9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</w:tcPr>
          <w:p w14:paraId="6174AEFD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7C0050A3" w14:textId="546A1D44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</w:tr>
      <w:tr w:rsidR="0083581B" w:rsidRPr="009C4866" w14:paraId="54FACA27" w14:textId="77777777" w:rsidTr="007841B4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4C748C27" w14:textId="74796A59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14:paraId="2E3197F9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канализационно-насосная станция г. Саяногорск.</w:t>
            </w:r>
          </w:p>
          <w:p w14:paraId="3FA00333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14:paraId="78A789E6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14:paraId="4E623C9B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канализационно-насосная станция,</w:t>
            </w:r>
          </w:p>
          <w:p w14:paraId="29BBF07C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14:paraId="4444988C" w14:textId="6F14F110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канализационно-насосная станция, литер В (с сетями инженерной инфраструктуры) инв. № 00170068.</w:t>
            </w:r>
          </w:p>
          <w:p w14:paraId="169CFE2A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</w:tcPr>
          <w:p w14:paraId="1FCF59CA" w14:textId="664C86D3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shd w:val="clear" w:color="auto" w:fill="auto"/>
          </w:tcPr>
          <w:p w14:paraId="20DD42E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</w:p>
          <w:p w14:paraId="635BF06E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78A47C65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5923905D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4F4CEBB1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250CD31A" w14:textId="77777777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14:paraId="1148864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водоотведения, не включённых в прочие группы мероприятий</w:t>
            </w:r>
          </w:p>
          <w:p w14:paraId="2654FA23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358E2B36" w14:textId="77777777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14:paraId="780B63BC" w14:textId="77777777" w:rsidR="0083581B" w:rsidRPr="0007791E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14:paraId="67FE1496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1968B0E9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14:paraId="60579C21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илосос ИВР-18MCN/2, 1 шт.</w:t>
            </w:r>
          </w:p>
        </w:tc>
        <w:tc>
          <w:tcPr>
            <w:tcW w:w="4423" w:type="dxa"/>
            <w:shd w:val="clear" w:color="auto" w:fill="auto"/>
          </w:tcPr>
          <w:p w14:paraId="1C0D94C1" w14:textId="70F1BB89" w:rsidR="0083581B" w:rsidRPr="00B875B3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14:paraId="50105FC4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14:paraId="1F36D020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4DB210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83581B" w:rsidRPr="009C4866" w14:paraId="20EDB792" w14:textId="77777777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14:paraId="2A1C7628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83581B" w:rsidRPr="009C4866" w14:paraId="00647EB8" w14:textId="77777777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14:paraId="5AA82A1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</w:tbl>
    <w:p w14:paraId="6910FF71" w14:textId="77777777"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4C248FDB" w14:textId="11A65E30" w:rsidR="009466BD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Управляющий  делами   </w:t>
      </w:r>
      <w:r w:rsidR="009466BD">
        <w:rPr>
          <w:rFonts w:ascii="Times New Roman" w:hAnsi="Times New Roman" w:cs="Times New Roman"/>
          <w:sz w:val="24"/>
          <w:szCs w:val="24"/>
        </w:rPr>
        <w:t>А</w:t>
      </w:r>
      <w:r w:rsidR="009466BD"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1AF9D6D" w14:textId="3672A2BE" w:rsidR="009466BD" w:rsidRPr="00677B88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9466BD"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="009466BD"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466BD" w:rsidRPr="00677B88">
        <w:rPr>
          <w:rFonts w:ascii="Times New Roman" w:hAnsi="Times New Roman" w:cs="Times New Roman"/>
          <w:sz w:val="24"/>
          <w:szCs w:val="24"/>
        </w:rPr>
        <w:t>А.Г.Козловская</w:t>
      </w:r>
      <w:proofErr w:type="spellEnd"/>
    </w:p>
    <w:p w14:paraId="39372269" w14:textId="77777777"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D218F" w14:textId="77777777" w:rsidR="00A84543" w:rsidRDefault="00A84543" w:rsidP="00FC4FC3">
      <w:pPr>
        <w:spacing w:after="0" w:line="240" w:lineRule="auto"/>
      </w:pPr>
      <w:r>
        <w:separator/>
      </w:r>
    </w:p>
  </w:endnote>
  <w:endnote w:type="continuationSeparator" w:id="0">
    <w:p w14:paraId="65C517AC" w14:textId="77777777" w:rsidR="00A84543" w:rsidRDefault="00A84543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AEEBC" w14:textId="77777777" w:rsidR="00A84543" w:rsidRDefault="00A84543" w:rsidP="00FC4FC3">
      <w:pPr>
        <w:spacing w:after="0" w:line="240" w:lineRule="auto"/>
      </w:pPr>
      <w:r>
        <w:separator/>
      </w:r>
    </w:p>
  </w:footnote>
  <w:footnote w:type="continuationSeparator" w:id="0">
    <w:p w14:paraId="4F829CF6" w14:textId="77777777" w:rsidR="00A84543" w:rsidRDefault="00A84543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87C"/>
    <w:rsid w:val="000F6FE5"/>
    <w:rsid w:val="00106CCB"/>
    <w:rsid w:val="00112B14"/>
    <w:rsid w:val="00146F68"/>
    <w:rsid w:val="00157787"/>
    <w:rsid w:val="001E1F4E"/>
    <w:rsid w:val="001F7E18"/>
    <w:rsid w:val="00204FAB"/>
    <w:rsid w:val="00217BD2"/>
    <w:rsid w:val="0022146E"/>
    <w:rsid w:val="002250DF"/>
    <w:rsid w:val="0023409A"/>
    <w:rsid w:val="00264C37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96032"/>
    <w:rsid w:val="003B750F"/>
    <w:rsid w:val="003E474A"/>
    <w:rsid w:val="00401A90"/>
    <w:rsid w:val="00407DD3"/>
    <w:rsid w:val="00412336"/>
    <w:rsid w:val="00431C2A"/>
    <w:rsid w:val="00432448"/>
    <w:rsid w:val="00440EFD"/>
    <w:rsid w:val="00442321"/>
    <w:rsid w:val="00447465"/>
    <w:rsid w:val="004763FC"/>
    <w:rsid w:val="004A089A"/>
    <w:rsid w:val="004A4179"/>
    <w:rsid w:val="004B1D35"/>
    <w:rsid w:val="004D097C"/>
    <w:rsid w:val="004D36CF"/>
    <w:rsid w:val="004D507C"/>
    <w:rsid w:val="004D50D8"/>
    <w:rsid w:val="004F70F1"/>
    <w:rsid w:val="00500286"/>
    <w:rsid w:val="00500B5D"/>
    <w:rsid w:val="0050573F"/>
    <w:rsid w:val="00525507"/>
    <w:rsid w:val="00532893"/>
    <w:rsid w:val="00541F16"/>
    <w:rsid w:val="005627CA"/>
    <w:rsid w:val="0056325C"/>
    <w:rsid w:val="00573803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18B2"/>
    <w:rsid w:val="0075767A"/>
    <w:rsid w:val="0076426E"/>
    <w:rsid w:val="007673AF"/>
    <w:rsid w:val="007747E3"/>
    <w:rsid w:val="00795D50"/>
    <w:rsid w:val="007A22CD"/>
    <w:rsid w:val="007A5701"/>
    <w:rsid w:val="007A769F"/>
    <w:rsid w:val="007B2A0E"/>
    <w:rsid w:val="007B4383"/>
    <w:rsid w:val="007B5014"/>
    <w:rsid w:val="007B6926"/>
    <w:rsid w:val="007B7407"/>
    <w:rsid w:val="007C53DF"/>
    <w:rsid w:val="007E1EA3"/>
    <w:rsid w:val="007E52FD"/>
    <w:rsid w:val="007F7944"/>
    <w:rsid w:val="008161FA"/>
    <w:rsid w:val="008177AB"/>
    <w:rsid w:val="0082225D"/>
    <w:rsid w:val="00833BC8"/>
    <w:rsid w:val="0083581B"/>
    <w:rsid w:val="00837A9D"/>
    <w:rsid w:val="0084495F"/>
    <w:rsid w:val="008526B3"/>
    <w:rsid w:val="00862F38"/>
    <w:rsid w:val="00865112"/>
    <w:rsid w:val="00865681"/>
    <w:rsid w:val="008727B6"/>
    <w:rsid w:val="008771C0"/>
    <w:rsid w:val="008A3FCC"/>
    <w:rsid w:val="008C162E"/>
    <w:rsid w:val="008C1D09"/>
    <w:rsid w:val="008C2EE3"/>
    <w:rsid w:val="008C44F7"/>
    <w:rsid w:val="008D285B"/>
    <w:rsid w:val="008E0199"/>
    <w:rsid w:val="008F64C8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13B99"/>
    <w:rsid w:val="00A2458B"/>
    <w:rsid w:val="00A26C7F"/>
    <w:rsid w:val="00A325C4"/>
    <w:rsid w:val="00A35BA1"/>
    <w:rsid w:val="00A51E71"/>
    <w:rsid w:val="00A775B2"/>
    <w:rsid w:val="00A804B4"/>
    <w:rsid w:val="00A820C8"/>
    <w:rsid w:val="00A84543"/>
    <w:rsid w:val="00A928FA"/>
    <w:rsid w:val="00AB008E"/>
    <w:rsid w:val="00AB419C"/>
    <w:rsid w:val="00AC67A6"/>
    <w:rsid w:val="00AC6A7B"/>
    <w:rsid w:val="00AC7891"/>
    <w:rsid w:val="00AD706D"/>
    <w:rsid w:val="00AE110A"/>
    <w:rsid w:val="00AE6189"/>
    <w:rsid w:val="00AE7FF1"/>
    <w:rsid w:val="00B269B8"/>
    <w:rsid w:val="00B47874"/>
    <w:rsid w:val="00B51CEB"/>
    <w:rsid w:val="00B77D29"/>
    <w:rsid w:val="00B807DB"/>
    <w:rsid w:val="00B81D15"/>
    <w:rsid w:val="00B90098"/>
    <w:rsid w:val="00C02529"/>
    <w:rsid w:val="00C502C5"/>
    <w:rsid w:val="00C537F0"/>
    <w:rsid w:val="00C54DDD"/>
    <w:rsid w:val="00C60CC2"/>
    <w:rsid w:val="00C95AEB"/>
    <w:rsid w:val="00CA23C4"/>
    <w:rsid w:val="00CD13A5"/>
    <w:rsid w:val="00CE64E2"/>
    <w:rsid w:val="00D2410A"/>
    <w:rsid w:val="00D26580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0907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B47FE"/>
    <w:rsid w:val="00EC27C5"/>
    <w:rsid w:val="00EC3014"/>
    <w:rsid w:val="00ED02F3"/>
    <w:rsid w:val="00EE717B"/>
    <w:rsid w:val="00EF0CEF"/>
    <w:rsid w:val="00F1239E"/>
    <w:rsid w:val="00F34314"/>
    <w:rsid w:val="00F5584B"/>
    <w:rsid w:val="00F620BB"/>
    <w:rsid w:val="00F6377E"/>
    <w:rsid w:val="00F72861"/>
    <w:rsid w:val="00F750D2"/>
    <w:rsid w:val="00F77A61"/>
    <w:rsid w:val="00F85AA8"/>
    <w:rsid w:val="00FA07C6"/>
    <w:rsid w:val="00FC4FC3"/>
    <w:rsid w:val="00FC710B"/>
    <w:rsid w:val="00FD3427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A6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8D4B-BC63-4757-9B4E-4617D667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3355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Зайцев Кирилл Александрович</cp:lastModifiedBy>
  <cp:revision>22</cp:revision>
  <cp:lastPrinted>2022-03-01T03:26:00Z</cp:lastPrinted>
  <dcterms:created xsi:type="dcterms:W3CDTF">2021-02-19T02:13:00Z</dcterms:created>
  <dcterms:modified xsi:type="dcterms:W3CDTF">2022-03-03T02:15:00Z</dcterms:modified>
</cp:coreProperties>
</file>